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49031" w14:textId="63B04DEB" w:rsidR="00C97236" w:rsidRPr="003F3EBF" w:rsidRDefault="00C97236" w:rsidP="00C97236">
      <w:pPr>
        <w:jc w:val="center"/>
        <w:rPr>
          <w:bCs/>
          <w:color w:val="44546A" w:themeColor="text2"/>
          <w:sz w:val="96"/>
          <w:szCs w:val="96"/>
          <w:lang w:val="en-US"/>
        </w:rPr>
      </w:pPr>
      <w:r w:rsidRPr="003F3EBF">
        <w:rPr>
          <w:bCs/>
          <w:color w:val="44546A" w:themeColor="text2"/>
          <w:sz w:val="96"/>
          <w:szCs w:val="96"/>
          <w:lang w:val="en-US"/>
        </w:rPr>
        <w:t>Chem 4480</w:t>
      </w:r>
    </w:p>
    <w:p w14:paraId="7CB1E2D6" w14:textId="77777777" w:rsidR="00C97236" w:rsidRDefault="00C97236" w:rsidP="00C97236">
      <w:pPr>
        <w:jc w:val="center"/>
        <w:rPr>
          <w:b/>
          <w:sz w:val="48"/>
          <w:szCs w:val="48"/>
          <w:lang w:val="en-US"/>
        </w:rPr>
      </w:pPr>
    </w:p>
    <w:p w14:paraId="46B39837" w14:textId="77777777" w:rsidR="006242C7" w:rsidRDefault="006242C7" w:rsidP="00C97236">
      <w:pPr>
        <w:jc w:val="center"/>
        <w:rPr>
          <w:b/>
          <w:sz w:val="48"/>
          <w:szCs w:val="48"/>
          <w:lang w:val="en-US"/>
        </w:rPr>
      </w:pPr>
    </w:p>
    <w:p w14:paraId="13D64FD8" w14:textId="77777777" w:rsidR="006242C7" w:rsidRDefault="006242C7" w:rsidP="00C97236">
      <w:pPr>
        <w:jc w:val="center"/>
        <w:rPr>
          <w:b/>
          <w:sz w:val="48"/>
          <w:szCs w:val="48"/>
          <w:lang w:val="en-US"/>
        </w:rPr>
      </w:pPr>
    </w:p>
    <w:p w14:paraId="78C0707E" w14:textId="77C564B0" w:rsidR="003F3EBF" w:rsidRPr="003F3EBF" w:rsidRDefault="003F3EBF" w:rsidP="003F3EBF">
      <w:pPr>
        <w:pStyle w:val="paragraph"/>
        <w:spacing w:before="0" w:beforeAutospacing="0" w:after="0" w:afterAutospacing="0"/>
        <w:jc w:val="center"/>
        <w:textAlignment w:val="baseline"/>
        <w:rPr>
          <w:rFonts w:ascii="Segoe UI" w:hAnsi="Segoe UI" w:cs="Segoe UI"/>
          <w:sz w:val="56"/>
          <w:szCs w:val="56"/>
          <w:lang w:val="en-US"/>
        </w:rPr>
      </w:pPr>
      <w:r w:rsidRPr="003F3EBF">
        <w:rPr>
          <w:rStyle w:val="normaltextrun"/>
          <w:rFonts w:ascii="Calibri" w:hAnsi="Calibri" w:cs="Calibri"/>
          <w:b/>
          <w:bCs/>
          <w:color w:val="000000"/>
          <w:position w:val="1"/>
          <w:sz w:val="56"/>
          <w:szCs w:val="56"/>
        </w:rPr>
        <w:t>Developing a Light-Activated Organic Polymerization </w:t>
      </w:r>
      <w:r w:rsidRPr="003F3EBF">
        <w:rPr>
          <w:rStyle w:val="eop"/>
          <w:rFonts w:ascii="Calibri" w:eastAsiaTheme="majorEastAsia" w:hAnsi="Calibri" w:cs="Calibri"/>
          <w:sz w:val="56"/>
          <w:szCs w:val="56"/>
          <w:lang w:val="en-US"/>
        </w:rPr>
        <w:t>​</w:t>
      </w:r>
      <w:r w:rsidRPr="003F3EBF">
        <w:rPr>
          <w:rStyle w:val="normaltextrun"/>
          <w:rFonts w:ascii="Calibri" w:hAnsi="Calibri" w:cs="Calibri"/>
          <w:b/>
          <w:bCs/>
          <w:color w:val="000000"/>
          <w:position w:val="1"/>
          <w:sz w:val="56"/>
          <w:szCs w:val="56"/>
        </w:rPr>
        <w:t>Laboratory Activity with Applications to Dentistry</w:t>
      </w:r>
      <w:r w:rsidRPr="003F3EBF">
        <w:rPr>
          <w:rStyle w:val="eop"/>
          <w:rFonts w:ascii="Calibri" w:eastAsiaTheme="majorEastAsia" w:hAnsi="Calibri" w:cs="Calibri"/>
          <w:sz w:val="56"/>
          <w:szCs w:val="56"/>
          <w:lang w:val="en-US"/>
        </w:rPr>
        <w:t>​</w:t>
      </w:r>
    </w:p>
    <w:p w14:paraId="04F6B087" w14:textId="77777777" w:rsidR="00C97236" w:rsidRDefault="00C97236" w:rsidP="00C97236">
      <w:pPr>
        <w:jc w:val="center"/>
        <w:rPr>
          <w:b/>
          <w:sz w:val="32"/>
          <w:szCs w:val="32"/>
          <w:lang w:val="en-US"/>
        </w:rPr>
      </w:pPr>
    </w:p>
    <w:p w14:paraId="06DED442" w14:textId="23FD38B5" w:rsidR="00C97236" w:rsidRDefault="00C97236" w:rsidP="003F3EBF">
      <w:pPr>
        <w:rPr>
          <w:b/>
          <w:sz w:val="32"/>
          <w:szCs w:val="32"/>
          <w:lang w:val="en-US"/>
        </w:rPr>
      </w:pPr>
    </w:p>
    <w:p w14:paraId="2D8197B5" w14:textId="0BA965B8" w:rsidR="00C97236" w:rsidRDefault="003F3EBF" w:rsidP="00C97236">
      <w:pPr>
        <w:jc w:val="center"/>
        <w:rPr>
          <w:b/>
          <w:sz w:val="32"/>
          <w:szCs w:val="32"/>
          <w:lang w:val="en-US"/>
        </w:rPr>
      </w:pPr>
      <w:r>
        <w:rPr>
          <w:b/>
          <w:sz w:val="32"/>
          <w:szCs w:val="32"/>
          <w:lang w:val="en-US"/>
        </w:rPr>
        <w:t xml:space="preserve">By: </w:t>
      </w:r>
      <w:r w:rsidR="00C97236" w:rsidRPr="00196065">
        <w:rPr>
          <w:b/>
          <w:sz w:val="32"/>
          <w:szCs w:val="32"/>
          <w:lang w:val="en-US"/>
        </w:rPr>
        <w:t>Mason Swanton</w:t>
      </w:r>
    </w:p>
    <w:p w14:paraId="082B19E2" w14:textId="67F0EFA8" w:rsidR="007B228E" w:rsidRDefault="007B228E" w:rsidP="00C97236">
      <w:pPr>
        <w:jc w:val="center"/>
        <w:rPr>
          <w:b/>
          <w:sz w:val="32"/>
          <w:szCs w:val="32"/>
          <w:lang w:val="en-US"/>
        </w:rPr>
      </w:pPr>
      <w:r>
        <w:rPr>
          <w:b/>
          <w:sz w:val="32"/>
          <w:szCs w:val="32"/>
          <w:lang w:val="en-US"/>
        </w:rPr>
        <w:t>Supervisor: Dr. Bruno Cinel</w:t>
      </w:r>
    </w:p>
    <w:p w14:paraId="6BD4426C" w14:textId="7AD985DB" w:rsidR="007B228E" w:rsidRPr="00196065" w:rsidRDefault="007B228E" w:rsidP="00C97236">
      <w:pPr>
        <w:jc w:val="center"/>
        <w:rPr>
          <w:b/>
          <w:sz w:val="32"/>
          <w:szCs w:val="32"/>
          <w:lang w:val="en-US"/>
        </w:rPr>
      </w:pPr>
      <w:r>
        <w:rPr>
          <w:b/>
          <w:sz w:val="32"/>
          <w:szCs w:val="32"/>
          <w:lang w:val="en-US"/>
        </w:rPr>
        <w:t>Co-Supervisor: Dr. Jess Allingham</w:t>
      </w:r>
    </w:p>
    <w:p w14:paraId="5FA5C947" w14:textId="77777777" w:rsidR="00C97236" w:rsidRDefault="00C97236" w:rsidP="00C97236">
      <w:pPr>
        <w:jc w:val="center"/>
        <w:rPr>
          <w:b/>
          <w:sz w:val="32"/>
          <w:szCs w:val="32"/>
          <w:lang w:val="en-US"/>
        </w:rPr>
      </w:pPr>
    </w:p>
    <w:p w14:paraId="73BD6A30" w14:textId="125B5CD6" w:rsidR="00B73033" w:rsidRDefault="007B228E" w:rsidP="00B73033">
      <w:pPr>
        <w:jc w:val="center"/>
        <w:rPr>
          <w:b/>
          <w:sz w:val="32"/>
          <w:szCs w:val="32"/>
          <w:lang w:val="en-US"/>
        </w:rPr>
      </w:pPr>
      <w:r>
        <w:rPr>
          <w:b/>
          <w:sz w:val="32"/>
          <w:szCs w:val="32"/>
          <w:lang w:val="en-US"/>
        </w:rPr>
        <w:t xml:space="preserve">Date: </w:t>
      </w:r>
      <w:r w:rsidR="00490704">
        <w:rPr>
          <w:b/>
          <w:sz w:val="32"/>
          <w:szCs w:val="32"/>
          <w:lang w:val="en-US"/>
        </w:rPr>
        <w:t>September</w:t>
      </w:r>
      <w:r w:rsidR="00473AB3">
        <w:rPr>
          <w:b/>
          <w:sz w:val="32"/>
          <w:szCs w:val="32"/>
          <w:lang w:val="en-US"/>
        </w:rPr>
        <w:t xml:space="preserve"> 2023 - </w:t>
      </w:r>
      <w:r>
        <w:rPr>
          <w:b/>
          <w:sz w:val="32"/>
          <w:szCs w:val="32"/>
          <w:lang w:val="en-US"/>
        </w:rPr>
        <w:t>April</w:t>
      </w:r>
      <w:r w:rsidR="00B73033">
        <w:rPr>
          <w:b/>
          <w:sz w:val="32"/>
          <w:szCs w:val="32"/>
          <w:lang w:val="en-US"/>
        </w:rPr>
        <w:t xml:space="preserve"> 2024</w:t>
      </w:r>
    </w:p>
    <w:p w14:paraId="39CD5997" w14:textId="77777777" w:rsidR="00B73033" w:rsidRDefault="00B73033" w:rsidP="00B73033">
      <w:pPr>
        <w:jc w:val="center"/>
        <w:rPr>
          <w:b/>
          <w:sz w:val="32"/>
          <w:szCs w:val="32"/>
          <w:lang w:val="en-US"/>
        </w:rPr>
      </w:pPr>
    </w:p>
    <w:p w14:paraId="337C7FAB" w14:textId="77777777" w:rsidR="00B73033" w:rsidRDefault="00B73033" w:rsidP="00B73033">
      <w:pPr>
        <w:jc w:val="center"/>
        <w:rPr>
          <w:b/>
          <w:sz w:val="32"/>
          <w:szCs w:val="32"/>
          <w:lang w:val="en-US"/>
        </w:rPr>
      </w:pPr>
    </w:p>
    <w:p w14:paraId="43BEA7E6" w14:textId="77777777" w:rsidR="00B73033" w:rsidRDefault="00B73033" w:rsidP="00B73033">
      <w:pPr>
        <w:jc w:val="center"/>
        <w:rPr>
          <w:b/>
          <w:sz w:val="32"/>
          <w:szCs w:val="32"/>
          <w:lang w:val="en-US"/>
        </w:rPr>
      </w:pPr>
    </w:p>
    <w:p w14:paraId="74B83F12" w14:textId="77777777" w:rsidR="00B73033" w:rsidRDefault="00B73033" w:rsidP="00B73033">
      <w:pPr>
        <w:jc w:val="center"/>
        <w:rPr>
          <w:b/>
          <w:sz w:val="32"/>
          <w:szCs w:val="32"/>
          <w:lang w:val="en-US"/>
        </w:rPr>
      </w:pPr>
    </w:p>
    <w:p w14:paraId="10F5DAB2" w14:textId="30D19E72" w:rsidR="00A673DD" w:rsidRPr="00B73033" w:rsidRDefault="00A673DD" w:rsidP="00B73033">
      <w:pPr>
        <w:pStyle w:val="Heading1"/>
        <w:rPr>
          <w:b/>
          <w:lang w:val="en-US"/>
        </w:rPr>
      </w:pPr>
      <w:r w:rsidRPr="00B73033">
        <w:lastRenderedPageBreak/>
        <w:t>Abstract</w:t>
      </w:r>
    </w:p>
    <w:p w14:paraId="4EEB6073" w14:textId="241250A0" w:rsidR="00653D00" w:rsidRDefault="00653D00" w:rsidP="00653D00">
      <w:r>
        <w:t xml:space="preserve">The focus of this directed study was to take three different </w:t>
      </w:r>
      <w:proofErr w:type="spellStart"/>
      <w:r>
        <w:t>Dimethacrylates</w:t>
      </w:r>
      <w:proofErr w:type="spellEnd"/>
      <w:r>
        <w:t xml:space="preserve"> (DMAs) and combine them with a photo-initiator, co-initiator, and filler </w:t>
      </w:r>
      <w:proofErr w:type="gramStart"/>
      <w:r>
        <w:t>in an attempt to</w:t>
      </w:r>
      <w:proofErr w:type="gramEnd"/>
      <w:r>
        <w:t xml:space="preserve"> make </w:t>
      </w:r>
      <w:r w:rsidR="0053580B">
        <w:t>a similar product to what is used in dental fillings</w:t>
      </w:r>
      <w:r>
        <w:t xml:space="preserve">. The DMAs used were </w:t>
      </w:r>
      <w:proofErr w:type="spellStart"/>
      <w:r>
        <w:t>Triethylene</w:t>
      </w:r>
      <w:proofErr w:type="spellEnd"/>
      <w:r>
        <w:t xml:space="preserve"> glycol-DMA, Urethane-DMA, and </w:t>
      </w:r>
      <w:proofErr w:type="spellStart"/>
      <w:r>
        <w:t>Dodecanediol</w:t>
      </w:r>
      <w:proofErr w:type="spellEnd"/>
      <w:r>
        <w:t xml:space="preserve">-DMA. These DMAs were used in tandem with </w:t>
      </w:r>
      <w:proofErr w:type="spellStart"/>
      <w:r>
        <w:t>camphorquinone</w:t>
      </w:r>
      <w:proofErr w:type="spellEnd"/>
      <w:r w:rsidR="00AD2970">
        <w:t xml:space="preserve"> (CQ)</w:t>
      </w:r>
      <w:r>
        <w:t xml:space="preserve"> as a photo-initiator and </w:t>
      </w:r>
      <w:proofErr w:type="spellStart"/>
      <w:r>
        <w:t>Dimethylamino</w:t>
      </w:r>
      <w:proofErr w:type="spellEnd"/>
      <w:r>
        <w:t xml:space="preserve"> ethyl methacrylate (DMA-EMA) as a co-initiator. Silica gel, 200-400 mesh, was used as a filler.</w:t>
      </w:r>
      <w:r w:rsidR="00020938">
        <w:t xml:space="preserve"> </w:t>
      </w:r>
      <w:r w:rsidR="00CA177B">
        <w:t>The results and information gained from these trials will then be used as a guide to setup a second</w:t>
      </w:r>
      <w:r w:rsidR="00E37160">
        <w:t>-</w:t>
      </w:r>
      <w:r w:rsidR="00CA177B">
        <w:t xml:space="preserve">year organic </w:t>
      </w:r>
      <w:r w:rsidR="00AA71D5">
        <w:t>laboratory that investigates polymerization reactions and the effect light has on specific reactions.</w:t>
      </w:r>
    </w:p>
    <w:p w14:paraId="04C3A3B3" w14:textId="77777777" w:rsidR="008F7EBF" w:rsidRDefault="008F7EBF">
      <w:pPr>
        <w:rPr>
          <w:lang w:val="en-US"/>
        </w:rPr>
      </w:pPr>
    </w:p>
    <w:p w14:paraId="3CB19F3B" w14:textId="41E0DCD1" w:rsidR="00A673DD" w:rsidRDefault="00A673DD" w:rsidP="00A673DD">
      <w:pPr>
        <w:pStyle w:val="Heading1"/>
      </w:pPr>
      <w:r>
        <w:t>Introduction</w:t>
      </w:r>
    </w:p>
    <w:p w14:paraId="60E2EA29" w14:textId="4AB1F310" w:rsidR="00A460E6" w:rsidRDefault="00A4047B">
      <w:pPr>
        <w:rPr>
          <w:rFonts w:cstheme="minorHAnsi"/>
        </w:rPr>
      </w:pPr>
      <w:r>
        <w:rPr>
          <w:rFonts w:cstheme="minorHAnsi"/>
        </w:rPr>
        <w:t xml:space="preserve">The application of dental fillings is </w:t>
      </w:r>
      <w:r w:rsidR="004E60D9" w:rsidRPr="00A673DD">
        <w:rPr>
          <w:rFonts w:cstheme="minorHAnsi"/>
        </w:rPr>
        <w:t>a very common procedure with around 90% of UK and American people having dental decay or fillings.</w:t>
      </w:r>
      <w:r w:rsidR="003262A9" w:rsidRPr="00A673DD">
        <w:rPr>
          <w:rFonts w:cstheme="minorHAnsi"/>
          <w:vertAlign w:val="superscript"/>
        </w:rPr>
        <w:t>1,</w:t>
      </w:r>
      <w:r w:rsidR="004E60D9" w:rsidRPr="00A673DD">
        <w:rPr>
          <w:rFonts w:cstheme="minorHAnsi"/>
          <w:vertAlign w:val="superscript"/>
        </w:rPr>
        <w:t>2</w:t>
      </w:r>
      <w:r w:rsidR="004E60D9" w:rsidRPr="00A673DD">
        <w:rPr>
          <w:rFonts w:cstheme="minorHAnsi"/>
        </w:rPr>
        <w:t xml:space="preserve"> Previously known to be silver fillings, the most popular fillings today are polymer derivatives made from methyl acrylate. Methyl acrylate is used in conjunction with a few other different monomers to make Glycidyl </w:t>
      </w:r>
      <w:proofErr w:type="spellStart"/>
      <w:r w:rsidR="004E60D9" w:rsidRPr="00A673DD">
        <w:rPr>
          <w:rFonts w:cstheme="minorHAnsi"/>
        </w:rPr>
        <w:t>methylacrylate</w:t>
      </w:r>
      <w:proofErr w:type="spellEnd"/>
      <w:r w:rsidR="004E60D9" w:rsidRPr="00A673DD">
        <w:rPr>
          <w:rFonts w:cstheme="minorHAnsi"/>
        </w:rPr>
        <w:t xml:space="preserve"> (GMA) or </w:t>
      </w:r>
      <w:proofErr w:type="spellStart"/>
      <w:r w:rsidR="004E60D9" w:rsidRPr="00A673DD">
        <w:rPr>
          <w:rFonts w:cstheme="minorHAnsi"/>
        </w:rPr>
        <w:t>Dimethylacrylates</w:t>
      </w:r>
      <w:proofErr w:type="spellEnd"/>
      <w:r w:rsidR="004E60D9" w:rsidRPr="00A673DD">
        <w:rPr>
          <w:rFonts w:cstheme="minorHAnsi"/>
        </w:rPr>
        <w:t xml:space="preserve"> or DMAs. The most used </w:t>
      </w:r>
      <w:proofErr w:type="spellStart"/>
      <w:r w:rsidR="004E60D9" w:rsidRPr="00337D88">
        <w:rPr>
          <w:rFonts w:cstheme="minorHAnsi"/>
          <w:color w:val="4472C4" w:themeColor="accent1"/>
        </w:rPr>
        <w:t>methylacrylates</w:t>
      </w:r>
      <w:proofErr w:type="spellEnd"/>
      <w:r w:rsidR="004E60D9" w:rsidRPr="00A673DD">
        <w:rPr>
          <w:rFonts w:cstheme="minorHAnsi"/>
        </w:rPr>
        <w:t xml:space="preserve"> in dental fillings are </w:t>
      </w:r>
      <w:r w:rsidR="004E60D9" w:rsidRPr="00337D88">
        <w:rPr>
          <w:rFonts w:cstheme="minorHAnsi"/>
          <w:color w:val="FF33CC"/>
        </w:rPr>
        <w:t>Bisphenol A-glycidyl</w:t>
      </w:r>
      <w:r w:rsidR="004E60D9" w:rsidRPr="00A673DD">
        <w:rPr>
          <w:rFonts w:cstheme="minorHAnsi"/>
        </w:rPr>
        <w:t xml:space="preserve"> </w:t>
      </w:r>
      <w:proofErr w:type="spellStart"/>
      <w:r w:rsidR="004E60D9" w:rsidRPr="00A673DD">
        <w:rPr>
          <w:rFonts w:cstheme="minorHAnsi"/>
        </w:rPr>
        <w:t>methylacrylate</w:t>
      </w:r>
      <w:proofErr w:type="spellEnd"/>
      <w:r w:rsidR="004E60D9" w:rsidRPr="00A673DD">
        <w:rPr>
          <w:rFonts w:cstheme="minorHAnsi"/>
        </w:rPr>
        <w:t xml:space="preserve"> (Bis-GMA) </w:t>
      </w:r>
      <w:proofErr w:type="spellStart"/>
      <w:r w:rsidR="004E60D9" w:rsidRPr="00337D88">
        <w:rPr>
          <w:rFonts w:cstheme="minorHAnsi"/>
          <w:color w:val="FF0000"/>
        </w:rPr>
        <w:t>Triethylglycerol</w:t>
      </w:r>
      <w:proofErr w:type="spellEnd"/>
      <w:r w:rsidR="004E60D9" w:rsidRPr="00A673DD">
        <w:rPr>
          <w:rFonts w:cstheme="minorHAnsi"/>
        </w:rPr>
        <w:t xml:space="preserve">-DMA (TEG-DMA). This experiment will analyze TEG-DMA as well as Urethane-DMA (UDMA) and </w:t>
      </w:r>
      <w:proofErr w:type="spellStart"/>
      <w:r w:rsidR="004E60D9" w:rsidRPr="00A673DD">
        <w:rPr>
          <w:rFonts w:cstheme="minorHAnsi"/>
        </w:rPr>
        <w:t>Dodecanediol</w:t>
      </w:r>
      <w:proofErr w:type="spellEnd"/>
      <w:r w:rsidR="004E60D9" w:rsidRPr="00A673DD">
        <w:rPr>
          <w:rFonts w:cstheme="minorHAnsi"/>
        </w:rPr>
        <w:t>-DMA (D</w:t>
      </w:r>
      <w:r w:rsidR="004E60D9" w:rsidRPr="00A673DD">
        <w:rPr>
          <w:rFonts w:cstheme="minorHAnsi"/>
          <w:vertAlign w:val="subscript"/>
        </w:rPr>
        <w:t>3</w:t>
      </w:r>
      <w:r w:rsidR="004E60D9" w:rsidRPr="00A673DD">
        <w:rPr>
          <w:rFonts w:cstheme="minorHAnsi"/>
        </w:rPr>
        <w:t xml:space="preserve">MA). These chemicals are used in conjunction with a co-initiator, </w:t>
      </w:r>
      <w:r w:rsidR="00C46338">
        <w:rPr>
          <w:rFonts w:cstheme="minorHAnsi"/>
        </w:rPr>
        <w:t>photo-initiator</w:t>
      </w:r>
      <w:r w:rsidR="004E60D9" w:rsidRPr="00A673DD">
        <w:rPr>
          <w:rFonts w:cstheme="minorHAnsi"/>
        </w:rPr>
        <w:t>, and filler to make a larger polymer found in many dental fillings.</w:t>
      </w:r>
    </w:p>
    <w:p w14:paraId="74F67A4C" w14:textId="77777777" w:rsidR="00B848D9" w:rsidRDefault="00B848D9" w:rsidP="00B848D9">
      <w:pPr>
        <w:keepNext/>
      </w:pPr>
      <w:r>
        <w:object w:dxaOrig="10100" w:dyaOrig="1220" w14:anchorId="794C2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56.5pt" o:ole="">
            <v:imagedata r:id="rId8" o:title=""/>
          </v:shape>
          <o:OLEObject Type="Embed" ProgID="CHEMDOODLEOLE.ChemDoodleEmbeddedObject.1" ShapeID="_x0000_i1025" DrawAspect="Content" ObjectID="_1836988856" r:id="rId9"/>
        </w:object>
      </w:r>
    </w:p>
    <w:p w14:paraId="435C17A6" w14:textId="7A3EE4F2" w:rsidR="00B848D9" w:rsidRPr="00B848D9" w:rsidRDefault="00B848D9" w:rsidP="00B848D9">
      <w:pPr>
        <w:pStyle w:val="Caption"/>
        <w:jc w:val="center"/>
      </w:pPr>
      <w:r>
        <w:t xml:space="preserve">Figure </w:t>
      </w:r>
      <w:fldSimple w:instr=" SEQ Figure \* ARABIC ">
        <w:r>
          <w:rPr>
            <w:noProof/>
          </w:rPr>
          <w:t>1</w:t>
        </w:r>
      </w:fldSimple>
      <w:r>
        <w:t>. Examples of monomer building blocks of dental polymers</w:t>
      </w:r>
      <w:r w:rsidR="0070501F">
        <w:t>.</w:t>
      </w:r>
    </w:p>
    <w:p w14:paraId="3CBD3EC5" w14:textId="77777777" w:rsidR="00CB5B50" w:rsidRPr="00A673DD" w:rsidRDefault="00CB5B50">
      <w:pPr>
        <w:rPr>
          <w:rFonts w:cstheme="minorHAnsi"/>
        </w:rPr>
      </w:pPr>
    </w:p>
    <w:p w14:paraId="6423EAB8" w14:textId="17FB0853" w:rsidR="00A70681" w:rsidRDefault="005100EC" w:rsidP="00525B59">
      <w:pPr>
        <w:jc w:val="center"/>
        <w:rPr>
          <w:rFonts w:cstheme="minorHAnsi"/>
        </w:rPr>
      </w:pPr>
      <w:r w:rsidRPr="00A673DD">
        <w:rPr>
          <w:rFonts w:eastAsia="Times New Roman" w:cstheme="minorHAnsi"/>
          <w:color w:val="000000"/>
          <w:kern w:val="0"/>
          <w:bdr w:val="none" w:sz="0" w:space="0" w:color="auto" w:frame="1"/>
          <w:shd w:val="clear" w:color="auto" w:fill="FFFFFF"/>
          <w:lang w:val="en-US" w:eastAsia="en-CA"/>
          <w14:ligatures w14:val="none"/>
        </w:rPr>
        <w:t>Polymers are a huge part of our everyday lives. From clothes, to plastics, to glues, the use of polymers has greatly impacted human lives. Polymers are made up of many monomers. An example of this is polyethylene, a polymer made up of ethylene monomers. Some polymers, like polyethylene can also have filling material in</w:t>
      </w:r>
      <w:r w:rsidR="00C930FC" w:rsidRPr="00A673DD">
        <w:rPr>
          <w:rFonts w:eastAsia="Times New Roman" w:cstheme="minorHAnsi"/>
          <w:color w:val="000000"/>
          <w:kern w:val="0"/>
          <w:bdr w:val="none" w:sz="0" w:space="0" w:color="auto" w:frame="1"/>
          <w:shd w:val="clear" w:color="auto" w:fill="FFFFFF"/>
          <w:lang w:val="en-US" w:eastAsia="en-CA"/>
          <w14:ligatures w14:val="none"/>
        </w:rPr>
        <w:t xml:space="preserve"> between two long chains as </w:t>
      </w:r>
      <w:r w:rsidR="00A70681">
        <w:rPr>
          <w:rFonts w:eastAsia="Times New Roman" w:cstheme="minorHAnsi"/>
          <w:color w:val="000000"/>
          <w:kern w:val="0"/>
          <w:bdr w:val="none" w:sz="0" w:space="0" w:color="auto" w:frame="1"/>
          <w:shd w:val="clear" w:color="auto" w:fill="FFFFFF"/>
          <w:lang w:val="en-US" w:eastAsia="en-CA"/>
          <w14:ligatures w14:val="none"/>
        </w:rPr>
        <w:t xml:space="preserve">shown in Figure </w:t>
      </w:r>
      <w:r w:rsidR="00B848D9">
        <w:rPr>
          <w:rFonts w:eastAsia="Times New Roman" w:cstheme="minorHAnsi"/>
          <w:color w:val="000000"/>
          <w:kern w:val="0"/>
          <w:bdr w:val="none" w:sz="0" w:space="0" w:color="auto" w:frame="1"/>
          <w:shd w:val="clear" w:color="auto" w:fill="FFFFFF"/>
          <w:lang w:val="en-US" w:eastAsia="en-CA"/>
          <w14:ligatures w14:val="none"/>
        </w:rPr>
        <w:t>2</w:t>
      </w:r>
      <w:r w:rsidR="004F3A08" w:rsidRPr="00A673DD">
        <w:rPr>
          <w:rFonts w:eastAsia="Times New Roman" w:cstheme="minorHAnsi"/>
          <w:color w:val="000000"/>
          <w:kern w:val="0"/>
          <w:bdr w:val="none" w:sz="0" w:space="0" w:color="auto" w:frame="1"/>
          <w:shd w:val="clear" w:color="auto" w:fill="FFFFFF"/>
          <w:lang w:val="en-US" w:eastAsia="en-CA"/>
          <w14:ligatures w14:val="none"/>
        </w:rPr>
        <w:t>:</w:t>
      </w:r>
      <w:r w:rsidR="004F3A08" w:rsidRPr="00A673DD">
        <w:rPr>
          <w:rFonts w:eastAsia="Times New Roman" w:cstheme="minorHAnsi"/>
          <w:noProof/>
          <w:color w:val="000000"/>
          <w:kern w:val="0"/>
          <w:bdr w:val="none" w:sz="0" w:space="0" w:color="auto" w:frame="1"/>
          <w:shd w:val="clear" w:color="auto" w:fill="FFFFFF"/>
          <w:lang w:val="en-US" w:eastAsia="en-CA"/>
          <w14:ligatures w14:val="none"/>
        </w:rPr>
        <w:drawing>
          <wp:inline distT="0" distB="0" distL="0" distR="0" wp14:anchorId="69CC8C95" wp14:editId="5C9A12EE">
            <wp:extent cx="2990850" cy="1541616"/>
            <wp:effectExtent l="0" t="0" r="0" b="1905"/>
            <wp:docPr id="1734774174" name="Picture 1734774174" descr="A diagram of a polymeriz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74174" name="Picture 1" descr="A diagram of a polymerization process&#10;&#10;Description automatically generated"/>
                    <pic:cNvPicPr/>
                  </pic:nvPicPr>
                  <pic:blipFill>
                    <a:blip r:embed="rId10"/>
                    <a:stretch>
                      <a:fillRect/>
                    </a:stretch>
                  </pic:blipFill>
                  <pic:spPr>
                    <a:xfrm>
                      <a:off x="0" y="0"/>
                      <a:ext cx="3019677" cy="1556475"/>
                    </a:xfrm>
                    <a:prstGeom prst="rect">
                      <a:avLst/>
                    </a:prstGeom>
                  </pic:spPr>
                </pic:pic>
              </a:graphicData>
            </a:graphic>
          </wp:inline>
        </w:drawing>
      </w:r>
    </w:p>
    <w:p w14:paraId="13C5559A" w14:textId="0B8F70F6" w:rsidR="004F3A08" w:rsidRPr="008F0DB5" w:rsidRDefault="004F3A08" w:rsidP="00525B59">
      <w:pPr>
        <w:keepNext/>
        <w:jc w:val="center"/>
        <w:rPr>
          <w:rFonts w:cstheme="minorHAnsi"/>
          <w:i/>
          <w:iCs/>
          <w:color w:val="44546A" w:themeColor="text2"/>
          <w:sz w:val="18"/>
          <w:szCs w:val="18"/>
        </w:rPr>
      </w:pPr>
      <w:r w:rsidRPr="008F0DB5">
        <w:rPr>
          <w:rFonts w:cstheme="minorHAnsi"/>
          <w:i/>
          <w:iCs/>
          <w:color w:val="44546A" w:themeColor="text2"/>
          <w:sz w:val="18"/>
          <w:szCs w:val="18"/>
        </w:rPr>
        <w:t xml:space="preserve">Figure </w:t>
      </w:r>
      <w:r w:rsidRPr="008F0DB5">
        <w:rPr>
          <w:rFonts w:cstheme="minorHAnsi"/>
          <w:i/>
          <w:iCs/>
          <w:color w:val="44546A" w:themeColor="text2"/>
          <w:sz w:val="18"/>
          <w:szCs w:val="18"/>
        </w:rPr>
        <w:fldChar w:fldCharType="begin"/>
      </w:r>
      <w:r w:rsidRPr="008F0DB5">
        <w:rPr>
          <w:rFonts w:cstheme="minorHAnsi"/>
          <w:i/>
          <w:iCs/>
          <w:color w:val="44546A" w:themeColor="text2"/>
          <w:sz w:val="18"/>
          <w:szCs w:val="18"/>
        </w:rPr>
        <w:instrText xml:space="preserve"> SEQ Figure \* ARABIC </w:instrText>
      </w:r>
      <w:r w:rsidRPr="008F0DB5">
        <w:rPr>
          <w:rFonts w:cstheme="minorHAnsi"/>
          <w:i/>
          <w:iCs/>
          <w:color w:val="44546A" w:themeColor="text2"/>
          <w:sz w:val="18"/>
          <w:szCs w:val="18"/>
        </w:rPr>
        <w:fldChar w:fldCharType="separate"/>
      </w:r>
      <w:r w:rsidR="00B848D9">
        <w:rPr>
          <w:rFonts w:cstheme="minorHAnsi"/>
          <w:i/>
          <w:iCs/>
          <w:noProof/>
          <w:color w:val="44546A" w:themeColor="text2"/>
          <w:sz w:val="18"/>
          <w:szCs w:val="18"/>
        </w:rPr>
        <w:t>2</w:t>
      </w:r>
      <w:r w:rsidRPr="008F0DB5">
        <w:rPr>
          <w:rFonts w:cstheme="minorHAnsi"/>
          <w:i/>
          <w:iCs/>
          <w:color w:val="44546A" w:themeColor="text2"/>
          <w:sz w:val="18"/>
          <w:szCs w:val="18"/>
        </w:rPr>
        <w:fldChar w:fldCharType="end"/>
      </w:r>
      <w:r w:rsidRPr="008F0DB5">
        <w:rPr>
          <w:rFonts w:cstheme="minorHAnsi"/>
          <w:i/>
          <w:iCs/>
          <w:color w:val="44546A" w:themeColor="text2"/>
          <w:sz w:val="18"/>
          <w:szCs w:val="18"/>
        </w:rPr>
        <w:t>. Polymerization reaction and polymer crosslink</w:t>
      </w:r>
      <w:r w:rsidR="008F0DB5" w:rsidRPr="008F0DB5">
        <w:rPr>
          <w:rFonts w:cstheme="minorHAnsi"/>
          <w:i/>
          <w:iCs/>
          <w:color w:val="44546A" w:themeColor="text2"/>
          <w:sz w:val="18"/>
          <w:szCs w:val="18"/>
        </w:rPr>
        <w:t>.</w:t>
      </w:r>
      <w:r w:rsidR="00C33EAA" w:rsidRPr="008F0DB5">
        <w:rPr>
          <w:rFonts w:cstheme="minorHAnsi"/>
          <w:i/>
          <w:iCs/>
          <w:color w:val="44546A" w:themeColor="text2"/>
          <w:sz w:val="18"/>
          <w:szCs w:val="18"/>
          <w:vertAlign w:val="superscript"/>
        </w:rPr>
        <w:t>3</w:t>
      </w:r>
    </w:p>
    <w:p w14:paraId="04AC4FC7" w14:textId="0BE96538" w:rsidR="00990410" w:rsidRPr="00A673DD" w:rsidRDefault="007A2D9B" w:rsidP="007A2D9B">
      <w:pPr>
        <w:rPr>
          <w:rFonts w:eastAsiaTheme="minorEastAsia"/>
          <w:color w:val="000000"/>
          <w:kern w:val="0"/>
          <w:bdr w:val="none" w:sz="0" w:space="0" w:color="auto" w:frame="1"/>
          <w:shd w:val="clear" w:color="auto" w:fill="FFFFFF"/>
          <w:lang w:val="en-US" w:eastAsia="en-CA"/>
          <w14:ligatures w14:val="none"/>
        </w:rPr>
      </w:pPr>
      <w:r w:rsidRPr="00A673DD">
        <w:rPr>
          <w:rFonts w:cstheme="minorHAnsi"/>
          <w:lang w:val="en-US"/>
        </w:rPr>
        <w:t xml:space="preserve">In this experiment, different </w:t>
      </w:r>
      <w:proofErr w:type="spellStart"/>
      <w:r w:rsidRPr="00A673DD">
        <w:rPr>
          <w:rFonts w:cstheme="minorHAnsi"/>
          <w:lang w:val="en-US"/>
        </w:rPr>
        <w:t>Dimethylacrylate</w:t>
      </w:r>
      <w:proofErr w:type="spellEnd"/>
      <w:r w:rsidRPr="00A673DD">
        <w:rPr>
          <w:rFonts w:cstheme="minorHAnsi"/>
          <w:lang w:val="en-US"/>
        </w:rPr>
        <w:t xml:space="preserve"> derivatives, or DMA</w:t>
      </w:r>
      <w:r w:rsidR="00A7687D">
        <w:rPr>
          <w:rFonts w:cstheme="minorHAnsi"/>
          <w:lang w:val="en-US"/>
        </w:rPr>
        <w:t>s</w:t>
      </w:r>
      <w:r w:rsidRPr="00A673DD">
        <w:rPr>
          <w:rFonts w:cstheme="minorHAnsi"/>
          <w:lang w:val="en-US"/>
        </w:rPr>
        <w:t xml:space="preserve">, will be used in combination with </w:t>
      </w:r>
      <w:proofErr w:type="spellStart"/>
      <w:r w:rsidRPr="00A673DD">
        <w:rPr>
          <w:rFonts w:cstheme="minorHAnsi"/>
          <w:lang w:val="en-US"/>
        </w:rPr>
        <w:t>camphorquinone</w:t>
      </w:r>
      <w:proofErr w:type="spellEnd"/>
      <w:r w:rsidRPr="00A673DD">
        <w:rPr>
          <w:rFonts w:cstheme="minorHAnsi"/>
          <w:lang w:val="en-US"/>
        </w:rPr>
        <w:t xml:space="preserve"> (CQ) and </w:t>
      </w:r>
      <w:proofErr w:type="spellStart"/>
      <w:r w:rsidRPr="00A673DD">
        <w:rPr>
          <w:rFonts w:cstheme="minorHAnsi"/>
        </w:rPr>
        <w:t>dimethylaminoethyl</w:t>
      </w:r>
      <w:proofErr w:type="spellEnd"/>
      <w:r w:rsidRPr="00A673DD">
        <w:rPr>
          <w:rFonts w:cstheme="minorHAnsi"/>
        </w:rPr>
        <w:t xml:space="preserve"> methacrylate (DMAEMA) to make different polymers.</w:t>
      </w:r>
      <w:r w:rsidRPr="00A673DD">
        <w:rPr>
          <w:rFonts w:eastAsiaTheme="minorEastAsia" w:cstheme="minorHAnsi"/>
        </w:rPr>
        <w:t xml:space="preserve"> </w:t>
      </w:r>
      <w:r w:rsidRPr="00A673DD">
        <w:rPr>
          <w:rFonts w:eastAsia="inherit" w:cstheme="minorHAnsi"/>
          <w:color w:val="000000"/>
          <w:kern w:val="0"/>
          <w:bdr w:val="none" w:sz="0" w:space="0" w:color="auto" w:frame="1"/>
          <w:shd w:val="clear" w:color="auto" w:fill="FFFFFF"/>
          <w:lang w:val="en-US" w:eastAsia="en-CA"/>
          <w14:ligatures w14:val="none"/>
        </w:rPr>
        <w:lastRenderedPageBreak/>
        <w:t xml:space="preserve">The main polymerization reaction observed in this </w:t>
      </w:r>
      <w:r w:rsidR="00A7687D">
        <w:rPr>
          <w:rFonts w:eastAsia="inherit" w:cstheme="minorHAnsi"/>
          <w:color w:val="000000"/>
          <w:kern w:val="0"/>
          <w:bdr w:val="none" w:sz="0" w:space="0" w:color="auto" w:frame="1"/>
          <w:shd w:val="clear" w:color="auto" w:fill="FFFFFF"/>
          <w:lang w:val="en-US" w:eastAsia="en-CA"/>
          <w14:ligatures w14:val="none"/>
        </w:rPr>
        <w:t>project</w:t>
      </w:r>
      <w:r w:rsidRPr="00A673DD">
        <w:rPr>
          <w:rFonts w:eastAsia="inherit" w:cstheme="minorHAnsi"/>
          <w:color w:val="000000"/>
          <w:kern w:val="0"/>
          <w:bdr w:val="none" w:sz="0" w:space="0" w:color="auto" w:frame="1"/>
          <w:shd w:val="clear" w:color="auto" w:fill="FFFFFF"/>
          <w:lang w:val="en-US" w:eastAsia="en-CA"/>
          <w14:ligatures w14:val="none"/>
        </w:rPr>
        <w:t xml:space="preserve"> will be a </w:t>
      </w:r>
      <w:r w:rsidR="00A7687D">
        <w:rPr>
          <w:rFonts w:eastAsia="inherit" w:cstheme="minorHAnsi"/>
          <w:color w:val="000000"/>
          <w:kern w:val="0"/>
          <w:bdr w:val="none" w:sz="0" w:space="0" w:color="auto" w:frame="1"/>
          <w:shd w:val="clear" w:color="auto" w:fill="FFFFFF"/>
          <w:lang w:val="en-US" w:eastAsia="en-CA"/>
          <w14:ligatures w14:val="none"/>
        </w:rPr>
        <w:t>light-activated</w:t>
      </w:r>
      <w:r w:rsidRPr="00A673DD">
        <w:rPr>
          <w:rFonts w:eastAsia="inherit" w:cstheme="minorHAnsi"/>
          <w:color w:val="000000"/>
          <w:kern w:val="0"/>
          <w:bdr w:val="none" w:sz="0" w:space="0" w:color="auto" w:frame="1"/>
          <w:shd w:val="clear" w:color="auto" w:fill="FFFFFF"/>
          <w:lang w:val="en-US" w:eastAsia="en-CA"/>
          <w14:ligatures w14:val="none"/>
        </w:rPr>
        <w:t xml:space="preserve"> polymerization reaction involving radicals.</w:t>
      </w:r>
      <w:r w:rsidRPr="00A673DD">
        <w:rPr>
          <w:rFonts w:eastAsiaTheme="minorEastAsia"/>
          <w:color w:val="000000"/>
          <w:kern w:val="0"/>
          <w:bdr w:val="none" w:sz="0" w:space="0" w:color="auto" w:frame="1"/>
          <w:shd w:val="clear" w:color="auto" w:fill="FFFFFF"/>
          <w:lang w:val="en-US" w:eastAsia="en-CA"/>
          <w14:ligatures w14:val="none"/>
        </w:rPr>
        <w:t xml:space="preserve"> </w:t>
      </w:r>
    </w:p>
    <w:p w14:paraId="27C5CD79" w14:textId="167CC371" w:rsidR="001512C5" w:rsidRPr="00A673DD" w:rsidRDefault="001512C5" w:rsidP="007A2D9B">
      <w:pPr>
        <w:rPr>
          <w:rFonts w:eastAsiaTheme="minorEastAsia"/>
          <w:color w:val="000000"/>
          <w:kern w:val="0"/>
          <w:bdr w:val="none" w:sz="0" w:space="0" w:color="auto" w:frame="1"/>
          <w:shd w:val="clear" w:color="auto" w:fill="FFFFFF"/>
          <w:lang w:val="en-US" w:eastAsia="en-CA"/>
          <w14:ligatures w14:val="none"/>
        </w:rPr>
      </w:pPr>
      <w:r w:rsidRPr="00A673DD">
        <w:rPr>
          <w:rFonts w:eastAsiaTheme="minorEastAsia"/>
          <w:color w:val="000000"/>
          <w:kern w:val="0"/>
          <w:bdr w:val="none" w:sz="0" w:space="0" w:color="auto" w:frame="1"/>
          <w:shd w:val="clear" w:color="auto" w:fill="FFFFFF"/>
          <w:lang w:val="en-US" w:eastAsia="en-CA"/>
          <w14:ligatures w14:val="none"/>
        </w:rPr>
        <w:t xml:space="preserve">This experiment follows a similar radical reaction mechanism that </w:t>
      </w:r>
      <w:r w:rsidR="008B2B85">
        <w:rPr>
          <w:rFonts w:eastAsiaTheme="minorEastAsia"/>
          <w:color w:val="000000"/>
          <w:kern w:val="0"/>
          <w:bdr w:val="none" w:sz="0" w:space="0" w:color="auto" w:frame="1"/>
          <w:shd w:val="clear" w:color="auto" w:fill="FFFFFF"/>
          <w:lang w:val="en-US" w:eastAsia="en-CA"/>
          <w14:ligatures w14:val="none"/>
        </w:rPr>
        <w:t xml:space="preserve">is shown in Figure </w:t>
      </w:r>
      <w:r w:rsidR="00B848D9">
        <w:rPr>
          <w:rFonts w:eastAsiaTheme="minorEastAsia"/>
          <w:color w:val="000000"/>
          <w:kern w:val="0"/>
          <w:bdr w:val="none" w:sz="0" w:space="0" w:color="auto" w:frame="1"/>
          <w:shd w:val="clear" w:color="auto" w:fill="FFFFFF"/>
          <w:lang w:val="en-US" w:eastAsia="en-CA"/>
          <w14:ligatures w14:val="none"/>
        </w:rPr>
        <w:t>3</w:t>
      </w:r>
      <w:r w:rsidR="007B61FA" w:rsidRPr="00A673DD">
        <w:rPr>
          <w:rFonts w:eastAsiaTheme="minorEastAsia"/>
          <w:color w:val="000000"/>
          <w:kern w:val="0"/>
          <w:bdr w:val="none" w:sz="0" w:space="0" w:color="auto" w:frame="1"/>
          <w:shd w:val="clear" w:color="auto" w:fill="FFFFFF"/>
          <w:lang w:val="en-US" w:eastAsia="en-CA"/>
          <w14:ligatures w14:val="none"/>
        </w:rPr>
        <w:t>:</w:t>
      </w:r>
    </w:p>
    <w:p w14:paraId="45908A49" w14:textId="2FAFE812" w:rsidR="005F66F0" w:rsidRDefault="00744509" w:rsidP="005F66F0">
      <w:pPr>
        <w:keepNext/>
      </w:pPr>
      <w:r>
        <w:object w:dxaOrig="11600" w:dyaOrig="12320" w14:anchorId="7E74FC0D">
          <v:shape id="_x0000_i1026" type="#_x0000_t75" style="width:349.75pt;height:370.85pt" o:ole="">
            <v:imagedata r:id="rId11" o:title=""/>
          </v:shape>
          <o:OLEObject Type="Embed" ProgID="CHEMDOODLEOLE.ChemDoodleEmbeddedObject.1" ShapeID="_x0000_i1026" DrawAspect="Content" ObjectID="_1836988857" r:id="rId12"/>
        </w:object>
      </w:r>
    </w:p>
    <w:p w14:paraId="6F39A279" w14:textId="60F06117" w:rsidR="00C33EAA" w:rsidRDefault="005F66F0" w:rsidP="005F66F0">
      <w:pPr>
        <w:pStyle w:val="Caption"/>
      </w:pPr>
      <w:r>
        <w:t xml:space="preserve">Figure </w:t>
      </w:r>
      <w:fldSimple w:instr=" SEQ Figure \* ARABIC ">
        <w:r w:rsidR="00B848D9">
          <w:rPr>
            <w:noProof/>
          </w:rPr>
          <w:t>3</w:t>
        </w:r>
      </w:fldSimple>
      <w:r>
        <w:t xml:space="preserve">. </w:t>
      </w:r>
      <w:r w:rsidR="0045417E">
        <w:t>R</w:t>
      </w:r>
      <w:r>
        <w:t>adical reaction mechanism for polymerization</w:t>
      </w:r>
      <w:r w:rsidR="008F0DB5">
        <w:t>.</w:t>
      </w:r>
    </w:p>
    <w:p w14:paraId="493F422B" w14:textId="59FE39AE" w:rsidR="00965C02" w:rsidRDefault="00B0143B" w:rsidP="00C33EAA">
      <w:r>
        <w:t>There are very few literature articles reported on the</w:t>
      </w:r>
      <w:r w:rsidR="005F6287">
        <w:t xml:space="preserve"> topic of dental polymers and radical reactions </w:t>
      </w:r>
      <w:r w:rsidR="001D59B3">
        <w:t xml:space="preserve">and </w:t>
      </w:r>
      <w:r w:rsidR="00525B59">
        <w:t>their</w:t>
      </w:r>
      <w:r w:rsidR="001D59B3">
        <w:t xml:space="preserve"> properties. Moreover, at the time of writing this, there were no </w:t>
      </w:r>
      <w:r w:rsidR="008D3ED4">
        <w:t xml:space="preserve">undergraduate lab </w:t>
      </w:r>
      <w:r w:rsidR="00B428A2">
        <w:t>experiments reported</w:t>
      </w:r>
      <w:r w:rsidR="008D3ED4">
        <w:t xml:space="preserve"> or procedures</w:t>
      </w:r>
      <w:r w:rsidR="001B6B06">
        <w:t xml:space="preserve"> for this sort of reaction besides </w:t>
      </w:r>
      <w:r w:rsidR="00B428A2">
        <w:t>an online</w:t>
      </w:r>
      <w:r w:rsidR="001B6B06">
        <w:t xml:space="preserve"> video</w:t>
      </w:r>
      <w:r w:rsidR="00AD716B">
        <w:rPr>
          <w:vertAlign w:val="superscript"/>
        </w:rPr>
        <w:t>3</w:t>
      </w:r>
      <w:r w:rsidR="001B6B06">
        <w:t xml:space="preserve"> found </w:t>
      </w:r>
      <w:r w:rsidR="00AD716B">
        <w:t xml:space="preserve">regarding Dr. Wentzel’s research into this topic. </w:t>
      </w:r>
      <w:r w:rsidR="00EF05D5">
        <w:t>This area was intriguing</w:t>
      </w:r>
      <w:r w:rsidR="00434151">
        <w:t xml:space="preserve"> to dive into further</w:t>
      </w:r>
      <w:r w:rsidR="00C11AF3">
        <w:t>,</w:t>
      </w:r>
      <w:r w:rsidR="00434151">
        <w:t xml:space="preserve"> and attempt to build a lab </w:t>
      </w:r>
      <w:r w:rsidR="00853408">
        <w:t>around</w:t>
      </w:r>
      <w:r w:rsidR="00C11AF3">
        <w:t>,</w:t>
      </w:r>
      <w:r w:rsidR="00853408">
        <w:t xml:space="preserve"> due to it holding many valuable learning aspects from first</w:t>
      </w:r>
      <w:r w:rsidR="00C11AF3">
        <w:t>-</w:t>
      </w:r>
      <w:r w:rsidR="00853408">
        <w:t xml:space="preserve">year chemistry and </w:t>
      </w:r>
      <w:r w:rsidR="00C11AF3">
        <w:t>second-</w:t>
      </w:r>
      <w:r w:rsidR="00853408">
        <w:t>year organic chemistry.</w:t>
      </w:r>
    </w:p>
    <w:p w14:paraId="35E792F5" w14:textId="77777777" w:rsidR="00744509" w:rsidRDefault="00965C02" w:rsidP="006E677A">
      <w:pPr>
        <w:shd w:val="clear" w:color="auto" w:fill="FFFFFF" w:themeFill="background1"/>
        <w:spacing w:after="0" w:line="240" w:lineRule="auto"/>
      </w:pPr>
      <w:r>
        <w:t>In first</w:t>
      </w:r>
      <w:r w:rsidR="0006625C">
        <w:t>-</w:t>
      </w:r>
      <w:r>
        <w:t xml:space="preserve">year </w:t>
      </w:r>
      <w:r w:rsidR="0045417E">
        <w:t>general chemistry course</w:t>
      </w:r>
      <w:r w:rsidR="0006625C">
        <w:t>s</w:t>
      </w:r>
      <w:r>
        <w:t xml:space="preserve">, students learn about wavelengths and how they can affect reactions. </w:t>
      </w:r>
      <w:r w:rsidR="00F978C3">
        <w:t xml:space="preserve">The point is further shown in this experiment in that, while the </w:t>
      </w:r>
      <w:r w:rsidR="00EE2D30">
        <w:t>reaction may cure over</w:t>
      </w:r>
      <w:r w:rsidR="0045417E">
        <w:t xml:space="preserve"> </w:t>
      </w:r>
      <w:r w:rsidR="00EE2D30">
        <w:t>time in ambient light, it cures far better and faster using the proper wavelength of around 400-500</w:t>
      </w:r>
      <w:r w:rsidR="0045417E">
        <w:t xml:space="preserve"> </w:t>
      </w:r>
      <w:r w:rsidR="00EE2D30">
        <w:t xml:space="preserve">nm. </w:t>
      </w:r>
      <w:r w:rsidR="006E677A">
        <w:t xml:space="preserve">Additionally, second year topics like radicals are </w:t>
      </w:r>
      <w:r w:rsidR="0045417E">
        <w:t>introduced to illustrate reaction mechanisms and highlight stability of different radicals</w:t>
      </w:r>
      <w:r w:rsidR="006E677A">
        <w:t>. Radical reactions follow three main steps:</w:t>
      </w:r>
      <w:r w:rsidR="00110CDF">
        <w:t xml:space="preserve"> Initiation, Propagation, and Termination as seen in </w:t>
      </w:r>
      <w:r w:rsidR="0053580B">
        <w:t>F</w:t>
      </w:r>
      <w:r w:rsidR="00110CDF">
        <w:t>igure</w:t>
      </w:r>
      <w:r w:rsidR="0053580B">
        <w:t xml:space="preserve"> </w:t>
      </w:r>
      <w:r w:rsidR="00B848D9">
        <w:t>4</w:t>
      </w:r>
      <w:r w:rsidR="0053580B">
        <w:t>.</w:t>
      </w:r>
    </w:p>
    <w:p w14:paraId="0F5DADE9" w14:textId="43F1FF9A" w:rsidR="006E677A" w:rsidRPr="00803870" w:rsidRDefault="006E677A" w:rsidP="006E677A">
      <w:pPr>
        <w:shd w:val="clear" w:color="auto" w:fill="FFFFFF" w:themeFill="background1"/>
        <w:spacing w:after="0" w:line="240" w:lineRule="auto"/>
        <w:rPr>
          <w:rFonts w:eastAsia="Times New Roman"/>
          <w:b/>
          <w:bCs/>
          <w:color w:val="242424"/>
          <w:sz w:val="24"/>
          <w:szCs w:val="24"/>
          <w:u w:val="single"/>
          <w:lang w:eastAsia="en-CA"/>
        </w:rPr>
      </w:pPr>
      <w:r w:rsidRPr="00803870">
        <w:rPr>
          <w:rFonts w:eastAsia="Times New Roman"/>
          <w:b/>
          <w:bCs/>
          <w:color w:val="242424"/>
          <w:sz w:val="24"/>
          <w:szCs w:val="24"/>
          <w:u w:val="single"/>
          <w:lang w:eastAsia="en-CA"/>
        </w:rPr>
        <w:lastRenderedPageBreak/>
        <w:t>Initiation:</w:t>
      </w:r>
    </w:p>
    <w:p w14:paraId="3F622DED" w14:textId="77777777" w:rsidR="008045F1" w:rsidRDefault="008045F1" w:rsidP="006E677A">
      <w:pPr>
        <w:shd w:val="clear" w:color="auto" w:fill="FFFFFF" w:themeFill="background1"/>
        <w:spacing w:after="0" w:line="240" w:lineRule="auto"/>
      </w:pPr>
    </w:p>
    <w:p w14:paraId="17E57BD8" w14:textId="0681DF5A" w:rsidR="006E677A" w:rsidRDefault="006E677A" w:rsidP="006E677A">
      <w:pPr>
        <w:shd w:val="clear" w:color="auto" w:fill="FFFFFF" w:themeFill="background1"/>
        <w:spacing w:after="0" w:line="240" w:lineRule="auto"/>
        <w:rPr>
          <w:rFonts w:eastAsia="Times New Roman"/>
          <w:color w:val="242424"/>
          <w:sz w:val="24"/>
          <w:szCs w:val="24"/>
          <w:lang w:eastAsia="en-CA"/>
        </w:rPr>
      </w:pPr>
      <w:r>
        <w:object w:dxaOrig="5080" w:dyaOrig="560" w14:anchorId="33824115">
          <v:shape id="_x0000_i1027" type="#_x0000_t75" style="width:253.5pt;height:27.75pt" o:ole="">
            <v:imagedata r:id="rId13" o:title=""/>
          </v:shape>
          <o:OLEObject Type="Embed" ProgID="CHEMDOODLEOLE.ChemDoodleEmbeddedObject.1" ShapeID="_x0000_i1027" DrawAspect="Content" ObjectID="_1836988858" r:id="rId14"/>
        </w:object>
      </w:r>
    </w:p>
    <w:p w14:paraId="59CCC9C9" w14:textId="77777777" w:rsidR="006E677A" w:rsidRDefault="006E677A" w:rsidP="006E677A">
      <w:pPr>
        <w:shd w:val="clear" w:color="auto" w:fill="FFFFFF" w:themeFill="background1"/>
        <w:spacing w:after="0" w:line="240" w:lineRule="auto"/>
        <w:rPr>
          <w:rFonts w:eastAsia="Times New Roman"/>
          <w:color w:val="242424"/>
          <w:sz w:val="24"/>
          <w:szCs w:val="24"/>
          <w:lang w:eastAsia="en-CA"/>
        </w:rPr>
      </w:pPr>
    </w:p>
    <w:p w14:paraId="20660654" w14:textId="77777777" w:rsidR="006E677A" w:rsidRPr="00803870" w:rsidRDefault="006E677A" w:rsidP="006E677A">
      <w:pPr>
        <w:shd w:val="clear" w:color="auto" w:fill="FFFFFF" w:themeFill="background1"/>
        <w:spacing w:after="0" w:line="240" w:lineRule="auto"/>
        <w:rPr>
          <w:rFonts w:eastAsia="Times New Roman"/>
          <w:b/>
          <w:bCs/>
          <w:color w:val="242424"/>
          <w:sz w:val="24"/>
          <w:szCs w:val="24"/>
          <w:u w:val="single"/>
          <w:lang w:eastAsia="en-CA"/>
        </w:rPr>
      </w:pPr>
      <w:r w:rsidRPr="00803870">
        <w:rPr>
          <w:rFonts w:eastAsia="Times New Roman"/>
          <w:b/>
          <w:bCs/>
          <w:color w:val="242424"/>
          <w:sz w:val="24"/>
          <w:szCs w:val="24"/>
          <w:u w:val="single"/>
          <w:lang w:eastAsia="en-CA"/>
        </w:rPr>
        <w:t>Propagation:</w:t>
      </w:r>
    </w:p>
    <w:p w14:paraId="050D83FC" w14:textId="034CEBD3" w:rsidR="006E677A" w:rsidRDefault="00D1221A" w:rsidP="006E677A">
      <w:pPr>
        <w:shd w:val="clear" w:color="auto" w:fill="FFFFFF" w:themeFill="background1"/>
        <w:spacing w:after="0" w:line="240" w:lineRule="auto"/>
      </w:pPr>
      <w:r>
        <w:object w:dxaOrig="6980" w:dyaOrig="1000" w14:anchorId="27079979">
          <v:shape id="_x0000_i1028" type="#_x0000_t75" style="width:347.25pt;height:50.25pt" o:ole="">
            <v:imagedata r:id="rId15" o:title=""/>
          </v:shape>
          <o:OLEObject Type="Embed" ProgID="CHEMDOODLEOLE.ChemDoodleEmbeddedObject.1" ShapeID="_x0000_i1028" DrawAspect="Content" ObjectID="_1836988859" r:id="rId16"/>
        </w:object>
      </w:r>
    </w:p>
    <w:p w14:paraId="728D0840" w14:textId="77777777" w:rsidR="006E677A" w:rsidRDefault="006E677A" w:rsidP="006E677A">
      <w:pPr>
        <w:shd w:val="clear" w:color="auto" w:fill="FFFFFF" w:themeFill="background1"/>
        <w:spacing w:after="0" w:line="240" w:lineRule="auto"/>
      </w:pPr>
      <w:r>
        <w:t>OR</w:t>
      </w:r>
    </w:p>
    <w:p w14:paraId="278277D0" w14:textId="46033120" w:rsidR="006E677A" w:rsidRDefault="00A41BED" w:rsidP="006E677A">
      <w:pPr>
        <w:shd w:val="clear" w:color="auto" w:fill="FFFFFF" w:themeFill="background1"/>
        <w:spacing w:after="0" w:line="240" w:lineRule="auto"/>
        <w:rPr>
          <w:rFonts w:eastAsia="Times New Roman"/>
          <w:color w:val="242424"/>
          <w:sz w:val="24"/>
          <w:szCs w:val="24"/>
          <w:lang w:eastAsia="en-CA"/>
        </w:rPr>
      </w:pPr>
      <w:r>
        <w:object w:dxaOrig="6640" w:dyaOrig="960" w14:anchorId="728649FE">
          <v:shape id="_x0000_i1029" type="#_x0000_t75" style="width:300.8pt;height:43.5pt" o:ole="">
            <v:imagedata r:id="rId17" o:title=""/>
          </v:shape>
          <o:OLEObject Type="Embed" ProgID="CHEMDOODLEOLE.ChemDoodleEmbeddedObject.1" ShapeID="_x0000_i1029" DrawAspect="Content" ObjectID="_1836988860" r:id="rId18"/>
        </w:object>
      </w:r>
    </w:p>
    <w:p w14:paraId="533B2414" w14:textId="77777777" w:rsidR="006E677A" w:rsidRDefault="006E677A" w:rsidP="006E677A">
      <w:pPr>
        <w:shd w:val="clear" w:color="auto" w:fill="FFFFFF" w:themeFill="background1"/>
        <w:spacing w:after="0" w:line="240" w:lineRule="auto"/>
        <w:rPr>
          <w:rFonts w:eastAsia="Times New Roman"/>
          <w:color w:val="242424"/>
          <w:sz w:val="24"/>
          <w:szCs w:val="24"/>
          <w:lang w:eastAsia="en-CA"/>
        </w:rPr>
      </w:pPr>
    </w:p>
    <w:p w14:paraId="1EE3F1FA" w14:textId="77777777" w:rsidR="006E677A" w:rsidRPr="00803870" w:rsidRDefault="006E677A" w:rsidP="006E677A">
      <w:pPr>
        <w:shd w:val="clear" w:color="auto" w:fill="FFFFFF" w:themeFill="background1"/>
        <w:spacing w:after="0" w:line="240" w:lineRule="auto"/>
        <w:rPr>
          <w:rFonts w:eastAsia="Times New Roman"/>
          <w:b/>
          <w:bCs/>
          <w:color w:val="242424"/>
          <w:sz w:val="24"/>
          <w:szCs w:val="24"/>
          <w:u w:val="single"/>
          <w:lang w:eastAsia="en-CA"/>
        </w:rPr>
      </w:pPr>
      <w:r w:rsidRPr="00803870">
        <w:rPr>
          <w:rFonts w:eastAsia="Times New Roman"/>
          <w:b/>
          <w:bCs/>
          <w:color w:val="242424"/>
          <w:sz w:val="24"/>
          <w:szCs w:val="24"/>
          <w:u w:val="single"/>
          <w:lang w:eastAsia="en-CA"/>
        </w:rPr>
        <w:t>Termination:</w:t>
      </w:r>
    </w:p>
    <w:p w14:paraId="29C6CE13" w14:textId="6221738C" w:rsidR="006E677A" w:rsidRDefault="002A77E4" w:rsidP="006E677A">
      <w:pPr>
        <w:shd w:val="clear" w:color="auto" w:fill="FFFFFF" w:themeFill="background1"/>
        <w:spacing w:after="0" w:line="240" w:lineRule="auto"/>
      </w:pPr>
      <w:r>
        <w:object w:dxaOrig="4700" w:dyaOrig="640" w14:anchorId="4491258F">
          <v:shape id="_x0000_i1030" type="#_x0000_t75" style="width:215.95pt;height:30pt" o:ole="">
            <v:imagedata r:id="rId19" o:title=""/>
          </v:shape>
          <o:OLEObject Type="Embed" ProgID="CHEMDOODLEOLE.ChemDoodleEmbeddedObject.1" ShapeID="_x0000_i1030" DrawAspect="Content" ObjectID="_1836988861" r:id="rId20"/>
        </w:object>
      </w:r>
    </w:p>
    <w:p w14:paraId="6548D7F8" w14:textId="77777777" w:rsidR="00110CDF" w:rsidRDefault="00110CDF" w:rsidP="006E677A">
      <w:pPr>
        <w:shd w:val="clear" w:color="auto" w:fill="FFFFFF" w:themeFill="background1"/>
        <w:spacing w:after="0" w:line="240" w:lineRule="auto"/>
      </w:pPr>
    </w:p>
    <w:p w14:paraId="4ADC88F7" w14:textId="4E6073D7" w:rsidR="006E677A" w:rsidRDefault="006E677A" w:rsidP="006E677A">
      <w:pPr>
        <w:shd w:val="clear" w:color="auto" w:fill="FFFFFF" w:themeFill="background1"/>
        <w:spacing w:after="0" w:line="240" w:lineRule="auto"/>
      </w:pPr>
      <w:r>
        <w:t>OR</w:t>
      </w:r>
    </w:p>
    <w:p w14:paraId="1A3B9348" w14:textId="1AEA6573" w:rsidR="0053580B" w:rsidRDefault="0019504B" w:rsidP="0053580B">
      <w:pPr>
        <w:keepNext/>
      </w:pPr>
      <w:r>
        <w:object w:dxaOrig="5200" w:dyaOrig="1020" w14:anchorId="3C604897">
          <v:shape id="_x0000_i1031" type="#_x0000_t75" style="width:260.25pt;height:51pt" o:ole="">
            <v:imagedata r:id="rId21" o:title=""/>
          </v:shape>
          <o:OLEObject Type="Embed" ProgID="CHEMDOODLEOLE.ChemDoodleEmbeddedObject.1" ShapeID="_x0000_i1031" DrawAspect="Content" ObjectID="_1836988862" r:id="rId22"/>
        </w:object>
      </w:r>
    </w:p>
    <w:p w14:paraId="61AD7F2C" w14:textId="60B5A984" w:rsidR="00907274" w:rsidRDefault="00907274" w:rsidP="0053580B">
      <w:pPr>
        <w:keepNext/>
      </w:pPr>
      <w:r>
        <w:t>OR</w:t>
      </w:r>
    </w:p>
    <w:p w14:paraId="413767F7" w14:textId="21E0BE4E" w:rsidR="0019504B" w:rsidRDefault="0019504B" w:rsidP="0053580B">
      <w:pPr>
        <w:keepNext/>
      </w:pPr>
      <w:r>
        <w:object w:dxaOrig="6100" w:dyaOrig="1020" w14:anchorId="30D2CBC9">
          <v:shape id="_x0000_i1032" type="#_x0000_t75" style="width:305pt;height:51pt" o:ole="">
            <v:imagedata r:id="rId23" o:title=""/>
          </v:shape>
          <o:OLEObject Type="Embed" ProgID="CHEMDOODLEOLE.ChemDoodleEmbeddedObject.1" ShapeID="_x0000_i1032" DrawAspect="Content" ObjectID="_1836988863" r:id="rId24"/>
        </w:object>
      </w:r>
    </w:p>
    <w:p w14:paraId="43B5C562" w14:textId="43C2CB7A" w:rsidR="00965C02" w:rsidRDefault="0053580B" w:rsidP="0053580B">
      <w:pPr>
        <w:pStyle w:val="Caption"/>
      </w:pPr>
      <w:r>
        <w:t xml:space="preserve">Figure </w:t>
      </w:r>
      <w:fldSimple w:instr=" SEQ Figure \* ARABIC ">
        <w:r w:rsidR="00B848D9">
          <w:rPr>
            <w:noProof/>
          </w:rPr>
          <w:t>4</w:t>
        </w:r>
      </w:fldSimple>
      <w:r>
        <w:t xml:space="preserve">. Radical </w:t>
      </w:r>
      <w:r w:rsidR="008F0DB5">
        <w:t>r</w:t>
      </w:r>
      <w:r>
        <w:t xml:space="preserve">eaction </w:t>
      </w:r>
      <w:r w:rsidR="00117AA4">
        <w:t xml:space="preserve">mechanism and </w:t>
      </w:r>
      <w:r>
        <w:t>steps</w:t>
      </w:r>
      <w:r w:rsidR="008F0DB5">
        <w:t>.</w:t>
      </w:r>
    </w:p>
    <w:p w14:paraId="3DB8653C" w14:textId="77777777" w:rsidR="00E30D35" w:rsidRDefault="00E30D35" w:rsidP="00C33EAA"/>
    <w:p w14:paraId="343C2A53" w14:textId="77777777" w:rsidR="008F3763" w:rsidRDefault="008F3763" w:rsidP="00C33EAA"/>
    <w:p w14:paraId="744A110D" w14:textId="77777777" w:rsidR="008F3763" w:rsidRDefault="008F3763" w:rsidP="00C33EAA"/>
    <w:p w14:paraId="52F3F322" w14:textId="77777777" w:rsidR="008F3763" w:rsidRDefault="008F3763" w:rsidP="00C33EAA"/>
    <w:p w14:paraId="2697DA65" w14:textId="77777777" w:rsidR="008F3763" w:rsidRDefault="008F3763" w:rsidP="00C33EAA"/>
    <w:p w14:paraId="253CEA00" w14:textId="77777777" w:rsidR="008F3763" w:rsidRDefault="008F3763" w:rsidP="00C33EAA"/>
    <w:p w14:paraId="22251E78" w14:textId="77777777" w:rsidR="008F3763" w:rsidRDefault="008F3763" w:rsidP="00C33EAA"/>
    <w:p w14:paraId="73B5A651" w14:textId="5C56C8B0" w:rsidR="008870DF" w:rsidRDefault="008870DF" w:rsidP="00A673DD">
      <w:pPr>
        <w:pStyle w:val="Heading1"/>
      </w:pPr>
      <w:r>
        <w:lastRenderedPageBreak/>
        <w:t>Project Background</w:t>
      </w:r>
    </w:p>
    <w:p w14:paraId="7D1EE53C" w14:textId="1B9FE06C" w:rsidR="008870DF" w:rsidRDefault="008870DF" w:rsidP="008870DF">
      <w:r>
        <w:t xml:space="preserve">The first part of this </w:t>
      </w:r>
      <w:r w:rsidR="00AD04E1">
        <w:t>project</w:t>
      </w:r>
      <w:r>
        <w:t xml:space="preserve"> </w:t>
      </w:r>
      <w:r w:rsidR="00036068">
        <w:t xml:space="preserve">required an understanding of what </w:t>
      </w:r>
      <w:r w:rsidR="00504017">
        <w:t xml:space="preserve">dental fillings </w:t>
      </w:r>
      <w:r w:rsidR="009333A9">
        <w:t>are</w:t>
      </w:r>
      <w:r w:rsidR="00504017">
        <w:t xml:space="preserve"> made up of</w:t>
      </w:r>
      <w:r w:rsidR="00CB386A">
        <w:t xml:space="preserve"> as well as w</w:t>
      </w:r>
      <w:r w:rsidR="00504017">
        <w:t xml:space="preserve">hat chemicals would need to be purchased and how would they need to be mixed. </w:t>
      </w:r>
      <w:r w:rsidR="00B6581E">
        <w:t xml:space="preserve">Using connections with </w:t>
      </w:r>
      <w:r w:rsidR="00205A95">
        <w:t>an in</w:t>
      </w:r>
      <w:r w:rsidR="00117AA4">
        <w:t>-</w:t>
      </w:r>
      <w:r w:rsidR="00205A95">
        <w:t xml:space="preserve">town dental office, products used for fillings were identified and their </w:t>
      </w:r>
      <w:r w:rsidR="001170CA">
        <w:t>MSDS</w:t>
      </w:r>
      <w:r w:rsidR="00205A95">
        <w:t xml:space="preserve"> sheets were </w:t>
      </w:r>
      <w:r w:rsidR="001170CA">
        <w:t>investigated</w:t>
      </w:r>
      <w:r w:rsidR="00205A95">
        <w:t xml:space="preserve">. After some </w:t>
      </w:r>
      <w:r w:rsidR="00B46DEB">
        <w:t>investigating</w:t>
      </w:r>
      <w:r w:rsidR="00205A95">
        <w:t xml:space="preserve">, it was found that each type of filling (flow, </w:t>
      </w:r>
      <w:r w:rsidR="00222615">
        <w:t>composite</w:t>
      </w:r>
      <w:r w:rsidR="00205A95">
        <w:t xml:space="preserve">, or </w:t>
      </w:r>
      <w:proofErr w:type="gramStart"/>
      <w:r w:rsidR="00205A95">
        <w:t>dual-cure</w:t>
      </w:r>
      <w:proofErr w:type="gramEnd"/>
      <w:r w:rsidR="00205A95">
        <w:t xml:space="preserve">) had a common element: </w:t>
      </w:r>
      <w:proofErr w:type="gramStart"/>
      <w:r w:rsidR="0090576C">
        <w:t xml:space="preserve">some sort of </w:t>
      </w:r>
      <w:proofErr w:type="spellStart"/>
      <w:r w:rsidR="0090576C">
        <w:t>dimethacrylate</w:t>
      </w:r>
      <w:proofErr w:type="spellEnd"/>
      <w:proofErr w:type="gramEnd"/>
      <w:r w:rsidR="0090576C">
        <w:t xml:space="preserve"> (DMA) with an interchangeable bridge between the methacrylate monomers</w:t>
      </w:r>
      <w:r w:rsidR="00F54CF6">
        <w:t xml:space="preserve"> (</w:t>
      </w:r>
      <w:r w:rsidR="00FD7415">
        <w:t>s</w:t>
      </w:r>
      <w:r w:rsidR="00F54CF6" w:rsidRPr="00917A29">
        <w:t>ee Figure</w:t>
      </w:r>
      <w:r w:rsidR="00917A29">
        <w:t xml:space="preserve"> </w:t>
      </w:r>
      <w:r w:rsidR="00B848D9">
        <w:t>5</w:t>
      </w:r>
      <w:r w:rsidR="00F54CF6" w:rsidRPr="00917A29">
        <w:t xml:space="preserve"> and Figure</w:t>
      </w:r>
      <w:r w:rsidR="00917A29">
        <w:t xml:space="preserve"> </w:t>
      </w:r>
      <w:r w:rsidR="00B848D9">
        <w:t>6</w:t>
      </w:r>
      <w:r w:rsidR="00F54CF6" w:rsidRPr="00917A29">
        <w:t xml:space="preserve"> below)</w:t>
      </w:r>
      <w:r w:rsidR="00FD7415">
        <w:t>.</w:t>
      </w:r>
    </w:p>
    <w:p w14:paraId="08AD690B" w14:textId="77777777" w:rsidR="00FA3949" w:rsidRDefault="00FA3949" w:rsidP="00FA3949">
      <w:pPr>
        <w:keepNext/>
        <w:jc w:val="center"/>
      </w:pPr>
      <w:r w:rsidRPr="00FA3949">
        <w:rPr>
          <w:noProof/>
        </w:rPr>
        <w:drawing>
          <wp:inline distT="0" distB="0" distL="0" distR="0" wp14:anchorId="73C4C68B" wp14:editId="7020C8EC">
            <wp:extent cx="2371725" cy="598170"/>
            <wp:effectExtent l="0" t="0" r="9525" b="0"/>
            <wp:docPr id="1013472780" name="Picture 1" descr="A red lin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2780" name="Picture 1" descr="A red line with letters on it&#10;&#10;Description automatically generated"/>
                    <pic:cNvPicPr/>
                  </pic:nvPicPr>
                  <pic:blipFill>
                    <a:blip r:embed="rId25"/>
                    <a:stretch>
                      <a:fillRect/>
                    </a:stretch>
                  </pic:blipFill>
                  <pic:spPr>
                    <a:xfrm>
                      <a:off x="0" y="0"/>
                      <a:ext cx="2414864" cy="609050"/>
                    </a:xfrm>
                    <a:prstGeom prst="rect">
                      <a:avLst/>
                    </a:prstGeom>
                  </pic:spPr>
                </pic:pic>
              </a:graphicData>
            </a:graphic>
          </wp:inline>
        </w:drawing>
      </w:r>
    </w:p>
    <w:p w14:paraId="5D8B1B43" w14:textId="24296220" w:rsidR="00F54CF6" w:rsidRDefault="00FA3949" w:rsidP="00FA3949">
      <w:pPr>
        <w:pStyle w:val="Caption"/>
        <w:jc w:val="center"/>
      </w:pPr>
      <w:r>
        <w:t xml:space="preserve">Figure </w:t>
      </w:r>
      <w:fldSimple w:instr=" SEQ Figure \* ARABIC ">
        <w:r w:rsidR="00B848D9">
          <w:rPr>
            <w:noProof/>
          </w:rPr>
          <w:t>5</w:t>
        </w:r>
      </w:fldSimple>
      <w:r>
        <w:t xml:space="preserve">. Methacrylate monomer (left) and an example of one of the interchangeable bridge options, </w:t>
      </w:r>
      <w:proofErr w:type="spellStart"/>
      <w:r>
        <w:t>Triethylene</w:t>
      </w:r>
      <w:proofErr w:type="spellEnd"/>
      <w:r>
        <w:t xml:space="preserve"> glycol</w:t>
      </w:r>
      <w:r w:rsidR="00FD7415">
        <w:t xml:space="preserve"> (TEG) </w:t>
      </w:r>
      <w:r>
        <w:t>(right)</w:t>
      </w:r>
      <w:r w:rsidR="00FD7415">
        <w:t>.</w:t>
      </w:r>
    </w:p>
    <w:p w14:paraId="1CDBE9E1" w14:textId="77777777" w:rsidR="000A326E" w:rsidRDefault="000A326E" w:rsidP="000A326E"/>
    <w:p w14:paraId="125D7624" w14:textId="77777777" w:rsidR="000A326E" w:rsidRDefault="000A326E" w:rsidP="000A326E">
      <w:pPr>
        <w:keepNext/>
        <w:jc w:val="center"/>
      </w:pPr>
      <w:r w:rsidRPr="000A326E">
        <w:rPr>
          <w:noProof/>
        </w:rPr>
        <w:drawing>
          <wp:inline distT="0" distB="0" distL="0" distR="0" wp14:anchorId="21B97889" wp14:editId="2F58816A">
            <wp:extent cx="2276475" cy="602724"/>
            <wp:effectExtent l="0" t="0" r="0" b="6985"/>
            <wp:docPr id="1164406336" name="Picture 1" descr="A red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06336" name="Picture 1" descr="A red line drawn on a white background&#10;&#10;Description automatically generated"/>
                    <pic:cNvPicPr/>
                  </pic:nvPicPr>
                  <pic:blipFill>
                    <a:blip r:embed="rId26"/>
                    <a:stretch>
                      <a:fillRect/>
                    </a:stretch>
                  </pic:blipFill>
                  <pic:spPr>
                    <a:xfrm>
                      <a:off x="0" y="0"/>
                      <a:ext cx="2283626" cy="604617"/>
                    </a:xfrm>
                    <a:prstGeom prst="rect">
                      <a:avLst/>
                    </a:prstGeom>
                  </pic:spPr>
                </pic:pic>
              </a:graphicData>
            </a:graphic>
          </wp:inline>
        </w:drawing>
      </w:r>
    </w:p>
    <w:p w14:paraId="3B96A7BA" w14:textId="6E0A60A0" w:rsidR="000A326E" w:rsidRPr="000A326E" w:rsidRDefault="000A326E" w:rsidP="000A326E">
      <w:pPr>
        <w:pStyle w:val="Caption"/>
        <w:jc w:val="center"/>
      </w:pPr>
      <w:r>
        <w:t xml:space="preserve">Figure </w:t>
      </w:r>
      <w:fldSimple w:instr=" SEQ Figure \* ARABIC ">
        <w:r w:rsidR="00B848D9">
          <w:rPr>
            <w:noProof/>
          </w:rPr>
          <w:t>6</w:t>
        </w:r>
      </w:fldSimple>
      <w:r>
        <w:t xml:space="preserve">. TEG-DMA molecule with the individual components </w:t>
      </w:r>
      <w:r w:rsidR="00A66A78">
        <w:t>coloured</w:t>
      </w:r>
      <w:r w:rsidR="00FD7415">
        <w:t>.</w:t>
      </w:r>
    </w:p>
    <w:p w14:paraId="1D07158B" w14:textId="31538422" w:rsidR="00115466" w:rsidRDefault="009E21BD" w:rsidP="00C33EAA">
      <w:r>
        <w:t xml:space="preserve">Once the components were identified, </w:t>
      </w:r>
      <w:r w:rsidR="002511C5">
        <w:t xml:space="preserve">the next step was solving how to form the polymer chains. This is where the bulk of the research was done and </w:t>
      </w:r>
      <w:r w:rsidR="009830AD">
        <w:t>where</w:t>
      </w:r>
      <w:r w:rsidR="002511C5">
        <w:t xml:space="preserve"> most articles came from that helped to structure the procedure. </w:t>
      </w:r>
      <w:r w:rsidR="00BC5B93">
        <w:t>The most impactful discovery, though, was a YouTube video by Dr. Michael Wentzel</w:t>
      </w:r>
      <w:r w:rsidR="004040BD">
        <w:t>.</w:t>
      </w:r>
      <w:r w:rsidR="004040BD">
        <w:rPr>
          <w:vertAlign w:val="superscript"/>
        </w:rPr>
        <w:t>3</w:t>
      </w:r>
      <w:r w:rsidR="004040BD">
        <w:t xml:space="preserve"> </w:t>
      </w:r>
      <w:r w:rsidR="00CF57C4">
        <w:t>In this video</w:t>
      </w:r>
      <w:r w:rsidR="00FD7415">
        <w:t>,</w:t>
      </w:r>
      <w:r w:rsidR="00CF57C4">
        <w:t xml:space="preserve"> a detailed reaction scheme was depicted, showing how </w:t>
      </w:r>
      <w:r w:rsidR="006A5FC6">
        <w:t>a photo-initiator (</w:t>
      </w:r>
      <w:proofErr w:type="spellStart"/>
      <w:r w:rsidR="006A5FC6">
        <w:t>camphorquinone</w:t>
      </w:r>
      <w:proofErr w:type="spellEnd"/>
      <w:r w:rsidR="009830AD">
        <w:t xml:space="preserve">) </w:t>
      </w:r>
      <w:r w:rsidR="006A5FC6">
        <w:t>alongside a co-initiator (</w:t>
      </w:r>
      <w:r w:rsidR="008501CC">
        <w:t>2-(</w:t>
      </w:r>
      <w:proofErr w:type="spellStart"/>
      <w:r w:rsidR="006A5FC6">
        <w:t>dimethyl</w:t>
      </w:r>
      <w:r w:rsidR="008501CC">
        <w:t>amino</w:t>
      </w:r>
      <w:proofErr w:type="spellEnd"/>
      <w:r w:rsidR="008501CC">
        <w:t>)ethyl methacrylate or DMA-EMA)</w:t>
      </w:r>
      <w:r w:rsidR="006E3E91">
        <w:t xml:space="preserve"> was used to initiate a light-</w:t>
      </w:r>
      <w:r w:rsidR="00FD0711">
        <w:t xml:space="preserve">activated </w:t>
      </w:r>
      <w:r w:rsidR="006E3E91">
        <w:t>radical reaction</w:t>
      </w:r>
      <w:r w:rsidR="00FD0711">
        <w:t xml:space="preserve"> forming the </w:t>
      </w:r>
      <w:r w:rsidR="00343BB9">
        <w:t>polymer chains and crosslinks</w:t>
      </w:r>
      <w:r w:rsidR="00872BFE">
        <w:t xml:space="preserve">. </w:t>
      </w:r>
      <w:r w:rsidR="009B1ABE">
        <w:t xml:space="preserve">Along with Dr. Wentzel’s video, some other research papers were used to develop a rough idea for a procedure </w:t>
      </w:r>
      <w:r w:rsidR="00DC4ECE">
        <w:t>regarding the mixture amounts of our DMA, CQ, and DMA-EMA</w:t>
      </w:r>
      <w:r w:rsidR="00E8763E">
        <w:t>.</w:t>
      </w:r>
      <w:r w:rsidR="00E8763E">
        <w:rPr>
          <w:vertAlign w:val="superscript"/>
        </w:rPr>
        <w:t>4,5</w:t>
      </w:r>
    </w:p>
    <w:p w14:paraId="77E8CC49" w14:textId="4D6F45FD" w:rsidR="00642A55" w:rsidRDefault="00E8763E" w:rsidP="008F3763">
      <w:pPr>
        <w:jc w:val="center"/>
      </w:pPr>
      <w:r>
        <w:t>Before testing the procedure, a</w:t>
      </w:r>
      <w:r w:rsidR="005B52C1">
        <w:t xml:space="preserve"> method</w:t>
      </w:r>
      <w:r>
        <w:t xml:space="preserve"> to cure </w:t>
      </w:r>
      <w:r w:rsidR="005B52C1">
        <w:t>the</w:t>
      </w:r>
      <w:r w:rsidR="00504D49">
        <w:t xml:space="preserve"> mixture</w:t>
      </w:r>
      <w:r w:rsidR="006D0124">
        <w:t xml:space="preserve"> needed to be made</w:t>
      </w:r>
      <w:r w:rsidR="00504D49">
        <w:t xml:space="preserve"> to see if the polymers would be formed. Thankfully, a physics professor at TRU, Dr. </w:t>
      </w:r>
      <w:r w:rsidR="00E1188F">
        <w:t>Mark Paet</w:t>
      </w:r>
      <w:r w:rsidR="00211B20">
        <w:t>kau</w:t>
      </w:r>
      <w:r w:rsidR="008D6047">
        <w:t>, had mul</w:t>
      </w:r>
      <w:r w:rsidR="005912C8">
        <w:t xml:space="preserve">tiple types of lights, ranging from UV to more blue light, that he was willing to </w:t>
      </w:r>
      <w:r w:rsidR="006D0124">
        <w:t>lend</w:t>
      </w:r>
      <w:r w:rsidR="0053760B">
        <w:t xml:space="preserve"> (see Figure </w:t>
      </w:r>
      <w:r w:rsidR="00B848D9">
        <w:t>7</w:t>
      </w:r>
      <w:r w:rsidR="0053760B">
        <w:t xml:space="preserve"> below for the light used).</w:t>
      </w:r>
      <w:r w:rsidR="00642A55" w:rsidRPr="00642A55">
        <w:rPr>
          <w:noProof/>
        </w:rPr>
        <w:drawing>
          <wp:inline distT="0" distB="0" distL="0" distR="0" wp14:anchorId="2FA9AF00" wp14:editId="3988ECE0">
            <wp:extent cx="2619375" cy="1889066"/>
            <wp:effectExtent l="0" t="0" r="0" b="0"/>
            <wp:docPr id="86533061" name="Picture 1" descr="A remote control and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3061" name="Picture 1" descr="A remote control and a light&#10;&#10;Description automatically generated"/>
                    <pic:cNvPicPr/>
                  </pic:nvPicPr>
                  <pic:blipFill>
                    <a:blip r:embed="rId27"/>
                    <a:stretch>
                      <a:fillRect/>
                    </a:stretch>
                  </pic:blipFill>
                  <pic:spPr>
                    <a:xfrm>
                      <a:off x="0" y="0"/>
                      <a:ext cx="2630077" cy="1896784"/>
                    </a:xfrm>
                    <a:prstGeom prst="rect">
                      <a:avLst/>
                    </a:prstGeom>
                  </pic:spPr>
                </pic:pic>
              </a:graphicData>
            </a:graphic>
          </wp:inline>
        </w:drawing>
      </w:r>
    </w:p>
    <w:p w14:paraId="41B41869" w14:textId="363735CB" w:rsidR="007812E3" w:rsidRDefault="00642A55" w:rsidP="008F3763">
      <w:pPr>
        <w:pStyle w:val="Caption"/>
        <w:jc w:val="center"/>
      </w:pPr>
      <w:r>
        <w:t xml:space="preserve">Figure </w:t>
      </w:r>
      <w:r w:rsidR="00B848D9">
        <w:t>7</w:t>
      </w:r>
      <w:r>
        <w:t>. Light used for curing and observing the different effects of blue and red light</w:t>
      </w:r>
      <w:r w:rsidR="007812E3">
        <w:t>.</w:t>
      </w:r>
    </w:p>
    <w:p w14:paraId="4571B834" w14:textId="0DD5790D" w:rsidR="0094736A" w:rsidRDefault="0084357C" w:rsidP="0084357C">
      <w:pPr>
        <w:pStyle w:val="Heading1"/>
      </w:pPr>
      <w:r>
        <w:lastRenderedPageBreak/>
        <w:t>Experimental</w:t>
      </w:r>
    </w:p>
    <w:p w14:paraId="2643F07F" w14:textId="69951C3C" w:rsidR="007812E3" w:rsidRPr="00F55CCB" w:rsidRDefault="00F67C04" w:rsidP="0084357C">
      <w:r>
        <w:t xml:space="preserve">The procedure developed </w:t>
      </w:r>
      <w:r w:rsidR="00F95DB7">
        <w:t>for</w:t>
      </w:r>
      <w:r>
        <w:t xml:space="preserve"> this lab used </w:t>
      </w:r>
      <w:r w:rsidR="00F55CCB">
        <w:t>two articles as a base</w:t>
      </w:r>
      <w:r w:rsidR="00F55CCB">
        <w:rPr>
          <w:vertAlign w:val="superscript"/>
        </w:rPr>
        <w:t>4,5</w:t>
      </w:r>
      <w:r w:rsidR="00F55CCB">
        <w:t xml:space="preserve"> alongside multiple trials to identify the mixture that most resembled </w:t>
      </w:r>
      <w:r w:rsidR="00F95DB7">
        <w:t>the consistency and properties of dental filling material.</w:t>
      </w:r>
    </w:p>
    <w:p w14:paraId="4D2D5391" w14:textId="77777777" w:rsidR="00F67C04" w:rsidRDefault="00F67C04" w:rsidP="0084357C"/>
    <w:p w14:paraId="6A2BF1D6" w14:textId="1E3592C3" w:rsidR="00AA640C" w:rsidRDefault="00012BF5" w:rsidP="00A43558">
      <w:pPr>
        <w:pStyle w:val="Heading2"/>
      </w:pPr>
      <w:r w:rsidRPr="00A43558">
        <w:t>Procedure</w:t>
      </w:r>
      <w:r w:rsidR="00687091" w:rsidRPr="00A43558">
        <w:t xml:space="preserve"> 1</w:t>
      </w:r>
    </w:p>
    <w:p w14:paraId="13557B7C" w14:textId="77777777" w:rsidR="00C20B08" w:rsidRPr="00C20B08" w:rsidRDefault="00C20B08" w:rsidP="00C20B08"/>
    <w:p w14:paraId="183204CF" w14:textId="77777777" w:rsidR="00F51D52" w:rsidRPr="00F51D52" w:rsidRDefault="00F51D52" w:rsidP="008F3763">
      <w:pPr>
        <w:numPr>
          <w:ilvl w:val="0"/>
          <w:numId w:val="6"/>
        </w:numPr>
        <w:spacing w:line="276" w:lineRule="auto"/>
      </w:pPr>
      <w:r w:rsidRPr="00F51D52">
        <w:t>Put on PPE and bring</w:t>
      </w:r>
      <w:r w:rsidRPr="00F51D52">
        <w:rPr>
          <w:lang w:val="en-US"/>
        </w:rPr>
        <w:t xml:space="preserve"> chemicals to analytical balance</w:t>
      </w:r>
    </w:p>
    <w:p w14:paraId="51EF3D02" w14:textId="35195CD2" w:rsidR="00F51D52" w:rsidRPr="00F51D52" w:rsidRDefault="00F51D52" w:rsidP="008F3763">
      <w:pPr>
        <w:numPr>
          <w:ilvl w:val="0"/>
          <w:numId w:val="6"/>
        </w:numPr>
        <w:spacing w:line="276" w:lineRule="auto"/>
      </w:pPr>
      <w:r w:rsidRPr="00F51D52">
        <w:t> Carefully weigh out 1.0000 g of the given TEG-DMA into 10</w:t>
      </w:r>
      <w:r w:rsidR="007812E3">
        <w:t xml:space="preserve"> </w:t>
      </w:r>
      <w:r w:rsidRPr="00F51D52">
        <w:t>mL beaker</w:t>
      </w:r>
    </w:p>
    <w:p w14:paraId="62045E53" w14:textId="1ABFBA16" w:rsidR="00F51D52" w:rsidRPr="00F51D52" w:rsidRDefault="00F51D52" w:rsidP="008F3763">
      <w:pPr>
        <w:numPr>
          <w:ilvl w:val="0"/>
          <w:numId w:val="6"/>
        </w:numPr>
        <w:spacing w:line="276" w:lineRule="auto"/>
      </w:pPr>
      <w:r w:rsidRPr="00F51D52">
        <w:t> Weigh out 10.00</w:t>
      </w:r>
      <w:r w:rsidR="007812E3">
        <w:t xml:space="preserve"> </w:t>
      </w:r>
      <w:r w:rsidRPr="00F51D52">
        <w:t>mg or 1.0% weight of DMA by weight of CQ into separate 10</w:t>
      </w:r>
      <w:r w:rsidR="007812E3">
        <w:t xml:space="preserve"> </w:t>
      </w:r>
      <w:r w:rsidRPr="00F51D52">
        <w:t>mL beaker</w:t>
      </w:r>
    </w:p>
    <w:p w14:paraId="5CA385DE" w14:textId="77777777" w:rsidR="00F51D52" w:rsidRPr="00F51D52" w:rsidRDefault="00F51D52" w:rsidP="008F3763">
      <w:pPr>
        <w:numPr>
          <w:ilvl w:val="0"/>
          <w:numId w:val="6"/>
        </w:numPr>
        <w:spacing w:line="276" w:lineRule="auto"/>
      </w:pPr>
      <w:r w:rsidRPr="00F51D52">
        <w:t> In the same beaker as the CQ, weigh out 2.0% DMAEMA or 20.00 mg</w:t>
      </w:r>
    </w:p>
    <w:p w14:paraId="08538F30" w14:textId="77777777" w:rsidR="00F51D52" w:rsidRPr="00F51D52" w:rsidRDefault="00F51D52" w:rsidP="008F3763">
      <w:pPr>
        <w:numPr>
          <w:ilvl w:val="1"/>
          <w:numId w:val="6"/>
        </w:numPr>
        <w:spacing w:line="276" w:lineRule="auto"/>
      </w:pPr>
      <w:r w:rsidRPr="00F51D52">
        <w:t>The co-initiator should be in a 2:1 ratio with photo-initiator</w:t>
      </w:r>
    </w:p>
    <w:p w14:paraId="08A8C961" w14:textId="77777777" w:rsidR="00F51D52" w:rsidRPr="00F51D52" w:rsidRDefault="00F51D52" w:rsidP="008F3763">
      <w:pPr>
        <w:numPr>
          <w:ilvl w:val="0"/>
          <w:numId w:val="6"/>
        </w:numPr>
        <w:spacing w:line="276" w:lineRule="auto"/>
      </w:pPr>
      <w:r w:rsidRPr="00F51D52">
        <w:t> Mix the CQ and DMA-EMA thoroughly or until homogeneous </w:t>
      </w:r>
    </w:p>
    <w:p w14:paraId="4E4256C5" w14:textId="77777777" w:rsidR="00F51D52" w:rsidRPr="00F51D52" w:rsidRDefault="00F51D52" w:rsidP="008F3763">
      <w:pPr>
        <w:numPr>
          <w:ilvl w:val="1"/>
          <w:numId w:val="6"/>
        </w:numPr>
        <w:spacing w:line="276" w:lineRule="auto"/>
      </w:pPr>
      <w:r w:rsidRPr="00F51D52">
        <w:t>Note that some clumps may be seen, but these should dissolve </w:t>
      </w:r>
    </w:p>
    <w:p w14:paraId="620796CF" w14:textId="77777777" w:rsidR="00F51D52" w:rsidRPr="00F51D52" w:rsidRDefault="00F51D52" w:rsidP="008F3763">
      <w:pPr>
        <w:numPr>
          <w:ilvl w:val="0"/>
          <w:numId w:val="6"/>
        </w:numPr>
        <w:spacing w:line="276" w:lineRule="auto"/>
      </w:pPr>
      <w:r w:rsidRPr="00F51D52">
        <w:t> Weigh out around 45% by weight filler (0.4500 g)</w:t>
      </w:r>
    </w:p>
    <w:p w14:paraId="58317BD5" w14:textId="77777777" w:rsidR="00F51D52" w:rsidRPr="00F51D52" w:rsidRDefault="00F51D52" w:rsidP="008F3763">
      <w:pPr>
        <w:numPr>
          <w:ilvl w:val="0"/>
          <w:numId w:val="6"/>
        </w:numPr>
        <w:spacing w:line="276" w:lineRule="auto"/>
      </w:pPr>
      <w:r w:rsidRPr="00F51D52">
        <w:t> Add the CQ and DMAEMA mixture to the DMA beaker and stir with stir rod until mixed well</w:t>
      </w:r>
    </w:p>
    <w:p w14:paraId="7D688526" w14:textId="30E28475" w:rsidR="00F51D52" w:rsidRPr="00F51D52" w:rsidRDefault="00F51D52" w:rsidP="008F3763">
      <w:pPr>
        <w:numPr>
          <w:ilvl w:val="0"/>
          <w:numId w:val="6"/>
        </w:numPr>
        <w:spacing w:line="276" w:lineRule="auto"/>
      </w:pPr>
      <w:r w:rsidRPr="00F51D52">
        <w:t> Once CQ and DMAEMA are added and mixed to the DMA beaker, add 0.4500 g filler of silica gel 200-400 mesh</w:t>
      </w:r>
    </w:p>
    <w:p w14:paraId="2DC8FCCA" w14:textId="77777777" w:rsidR="00F51D52" w:rsidRPr="00F51D52" w:rsidRDefault="00F51D52" w:rsidP="008F3763">
      <w:pPr>
        <w:spacing w:line="276" w:lineRule="auto"/>
      </w:pPr>
      <w:r w:rsidRPr="00F51D52">
        <w:rPr>
          <w:u w:val="single"/>
        </w:rPr>
        <w:t>Part 2</w:t>
      </w:r>
      <w:r w:rsidRPr="00F51D52">
        <w:t xml:space="preserve"> </w:t>
      </w:r>
    </w:p>
    <w:p w14:paraId="1296A023" w14:textId="21D7E3A6" w:rsidR="00F51D52" w:rsidRPr="00F51D52" w:rsidRDefault="00F51D52" w:rsidP="008F3763">
      <w:pPr>
        <w:numPr>
          <w:ilvl w:val="0"/>
          <w:numId w:val="7"/>
        </w:numPr>
        <w:spacing w:line="276" w:lineRule="auto"/>
      </w:pPr>
      <w:r w:rsidRPr="00F51D52">
        <w:t>After adding filler (optional</w:t>
      </w:r>
      <w:r w:rsidR="0024671B">
        <w:t>) and mixing thoroughly,</w:t>
      </w:r>
      <w:r w:rsidRPr="00F51D52">
        <w:t xml:space="preserve"> </w:t>
      </w:r>
      <w:r w:rsidR="0024671B">
        <w:t>pour the mixture</w:t>
      </w:r>
      <w:r w:rsidRPr="00F51D52">
        <w:t xml:space="preserve"> onto a small weigh boat</w:t>
      </w:r>
    </w:p>
    <w:p w14:paraId="378A0E85" w14:textId="77777777" w:rsidR="00F51D52" w:rsidRPr="00F51D52" w:rsidRDefault="00F51D52" w:rsidP="008F3763">
      <w:pPr>
        <w:numPr>
          <w:ilvl w:val="1"/>
          <w:numId w:val="7"/>
        </w:numPr>
        <w:spacing w:line="276" w:lineRule="auto"/>
      </w:pPr>
      <w:r w:rsidRPr="00F51D52">
        <w:t>Keep majority of the mixture in one corner to create some depth</w:t>
      </w:r>
    </w:p>
    <w:p w14:paraId="465BD9CF" w14:textId="77777777" w:rsidR="00F51D52" w:rsidRPr="00F51D52" w:rsidRDefault="00F51D52" w:rsidP="008F3763">
      <w:pPr>
        <w:numPr>
          <w:ilvl w:val="0"/>
          <w:numId w:val="7"/>
        </w:numPr>
        <w:spacing w:line="276" w:lineRule="auto"/>
      </w:pPr>
      <w:r w:rsidRPr="00F51D52">
        <w:t>Carefully place weigh boat, with mixture, into the center of the cork circle (keeping it at an angle as in Figure 4)</w:t>
      </w:r>
    </w:p>
    <w:p w14:paraId="5AA3C6FD" w14:textId="6BC5D17A" w:rsidR="009830AD" w:rsidRDefault="00F51D52" w:rsidP="008F3763">
      <w:pPr>
        <w:numPr>
          <w:ilvl w:val="0"/>
          <w:numId w:val="7"/>
        </w:numPr>
        <w:spacing w:line="276" w:lineRule="auto"/>
      </w:pPr>
      <w:r w:rsidRPr="00F51D52">
        <w:t>Cover the cork with the light and begin to cure on either blue (~450 nm) or red (~650 nm) light for around 5 minutes</w:t>
      </w:r>
    </w:p>
    <w:p w14:paraId="32B52876" w14:textId="77777777" w:rsidR="009830AD" w:rsidRDefault="009830AD" w:rsidP="009830AD">
      <w:pPr>
        <w:spacing w:line="360" w:lineRule="auto"/>
      </w:pPr>
    </w:p>
    <w:p w14:paraId="07AE8E46" w14:textId="5D4222BD" w:rsidR="00E4425F" w:rsidRDefault="00E4425F" w:rsidP="006F3C5C">
      <w:pPr>
        <w:pStyle w:val="Heading3"/>
      </w:pPr>
      <w:r>
        <w:t>Varying Filler</w:t>
      </w:r>
    </w:p>
    <w:p w14:paraId="3F075971" w14:textId="54D635F0" w:rsidR="00943ADF" w:rsidRDefault="00284E9E" w:rsidP="0084357C">
      <w:r>
        <w:t xml:space="preserve">Initial </w:t>
      </w:r>
      <w:r w:rsidR="00E4425F">
        <w:t xml:space="preserve">tests of this experiment were to identify the </w:t>
      </w:r>
      <w:r w:rsidR="00E348D4">
        <w:t xml:space="preserve">changes caused by varying the amount of filler used. To do this, a baseline mixture was needed for all other parts. </w:t>
      </w:r>
      <w:r w:rsidR="003454F7">
        <w:t xml:space="preserve">The </w:t>
      </w:r>
      <w:r w:rsidR="00BF2AE4">
        <w:t>DMA used for these trials was TEG-DMA each time.</w:t>
      </w:r>
    </w:p>
    <w:p w14:paraId="2DC16C6D" w14:textId="59A41C06" w:rsidR="00F23885" w:rsidRDefault="00F23885" w:rsidP="00F23885">
      <w:pPr>
        <w:pStyle w:val="Caption"/>
        <w:keepNext/>
      </w:pPr>
    </w:p>
    <w:p w14:paraId="0279A89E" w14:textId="20C06E5A" w:rsidR="00F23885" w:rsidRDefault="00F23885" w:rsidP="00F23885">
      <w:pPr>
        <w:pStyle w:val="Caption"/>
        <w:keepNext/>
        <w:jc w:val="center"/>
      </w:pPr>
      <w:r>
        <w:t xml:space="preserve">Table </w:t>
      </w:r>
      <w:fldSimple w:instr=" SEQ Table \* ARABIC ">
        <w:r>
          <w:rPr>
            <w:noProof/>
          </w:rPr>
          <w:t>1</w:t>
        </w:r>
      </w:fldSimple>
      <w:r>
        <w:t xml:space="preserve">. </w:t>
      </w:r>
      <w:r w:rsidRPr="006956D8">
        <w:t>Tabulated composition of filler, co-initiator, and photo-initiator for each trial</w:t>
      </w:r>
      <w:r w:rsidR="00CC7AD9">
        <w:t>.</w:t>
      </w:r>
    </w:p>
    <w:tbl>
      <w:tblPr>
        <w:tblStyle w:val="TableGrid"/>
        <w:tblW w:w="0" w:type="auto"/>
        <w:jc w:val="center"/>
        <w:tblLook w:val="04A0" w:firstRow="1" w:lastRow="0" w:firstColumn="1" w:lastColumn="0" w:noHBand="0" w:noVBand="1"/>
      </w:tblPr>
      <w:tblGrid>
        <w:gridCol w:w="924"/>
        <w:gridCol w:w="1481"/>
        <w:gridCol w:w="1701"/>
        <w:gridCol w:w="1559"/>
      </w:tblGrid>
      <w:tr w:rsidR="00F23885" w14:paraId="39604294" w14:textId="5531D56E" w:rsidTr="00CC7AD9">
        <w:trPr>
          <w:jc w:val="center"/>
        </w:trPr>
        <w:tc>
          <w:tcPr>
            <w:tcW w:w="924" w:type="dxa"/>
          </w:tcPr>
          <w:p w14:paraId="4AA6BDCC" w14:textId="77777777" w:rsidR="00F23885" w:rsidRDefault="00F23885" w:rsidP="00F23885">
            <w:pPr>
              <w:spacing w:line="360" w:lineRule="auto"/>
              <w:jc w:val="center"/>
            </w:pPr>
          </w:p>
        </w:tc>
        <w:tc>
          <w:tcPr>
            <w:tcW w:w="1481" w:type="dxa"/>
          </w:tcPr>
          <w:p w14:paraId="79CC1758" w14:textId="09E0A1D6" w:rsidR="00F23885" w:rsidRDefault="00F23885" w:rsidP="00F23885">
            <w:pPr>
              <w:spacing w:line="360" w:lineRule="auto"/>
              <w:jc w:val="center"/>
            </w:pPr>
            <w:r>
              <w:t>Filler (%</w:t>
            </w:r>
            <w:r w:rsidR="00CC7AD9">
              <w:t>w/w</w:t>
            </w:r>
            <w:r>
              <w:t>)</w:t>
            </w:r>
          </w:p>
        </w:tc>
        <w:tc>
          <w:tcPr>
            <w:tcW w:w="1701" w:type="dxa"/>
          </w:tcPr>
          <w:p w14:paraId="3C1C478D" w14:textId="43EF190C" w:rsidR="00F23885" w:rsidRDefault="00F23885" w:rsidP="00F23885">
            <w:pPr>
              <w:spacing w:line="360" w:lineRule="auto"/>
              <w:jc w:val="center"/>
            </w:pPr>
            <w:r>
              <w:t>DMA-EMA (</w:t>
            </w:r>
            <w:r w:rsidR="00CC7AD9">
              <w:t>m</w:t>
            </w:r>
            <w:r>
              <w:t>g)</w:t>
            </w:r>
          </w:p>
        </w:tc>
        <w:tc>
          <w:tcPr>
            <w:tcW w:w="1559" w:type="dxa"/>
          </w:tcPr>
          <w:p w14:paraId="73D5B167" w14:textId="46A0AB63" w:rsidR="00F23885" w:rsidRDefault="00F23885" w:rsidP="00F23885">
            <w:pPr>
              <w:spacing w:line="360" w:lineRule="auto"/>
              <w:jc w:val="center"/>
            </w:pPr>
            <w:r>
              <w:t>CQ (</w:t>
            </w:r>
            <w:r w:rsidR="00CC7AD9">
              <w:t>m</w:t>
            </w:r>
            <w:r>
              <w:t>g)</w:t>
            </w:r>
          </w:p>
        </w:tc>
      </w:tr>
      <w:tr w:rsidR="00F23885" w14:paraId="70524A17" w14:textId="69B026BE" w:rsidTr="00CC7AD9">
        <w:trPr>
          <w:jc w:val="center"/>
        </w:trPr>
        <w:tc>
          <w:tcPr>
            <w:tcW w:w="924" w:type="dxa"/>
          </w:tcPr>
          <w:p w14:paraId="3CE6EDAD" w14:textId="55E2B839" w:rsidR="00F23885" w:rsidRDefault="00F23885" w:rsidP="00F23885">
            <w:pPr>
              <w:spacing w:line="360" w:lineRule="auto"/>
              <w:jc w:val="center"/>
            </w:pPr>
            <w:r>
              <w:t>Trial 1</w:t>
            </w:r>
          </w:p>
        </w:tc>
        <w:tc>
          <w:tcPr>
            <w:tcW w:w="1481" w:type="dxa"/>
          </w:tcPr>
          <w:p w14:paraId="0238CB63" w14:textId="77FCE297" w:rsidR="00F23885" w:rsidRDefault="00F23885" w:rsidP="00F23885">
            <w:pPr>
              <w:spacing w:line="360" w:lineRule="auto"/>
              <w:jc w:val="center"/>
            </w:pPr>
            <w:r>
              <w:t>~ 45%</w:t>
            </w:r>
          </w:p>
        </w:tc>
        <w:tc>
          <w:tcPr>
            <w:tcW w:w="1701" w:type="dxa"/>
          </w:tcPr>
          <w:p w14:paraId="646E88EF" w14:textId="1B34EC81" w:rsidR="00F23885" w:rsidRDefault="00F23885" w:rsidP="00F23885">
            <w:pPr>
              <w:spacing w:line="360" w:lineRule="auto"/>
              <w:jc w:val="center"/>
            </w:pPr>
            <w:r>
              <w:t xml:space="preserve">~ </w:t>
            </w:r>
            <w:r w:rsidR="00537535">
              <w:t>20.0</w:t>
            </w:r>
          </w:p>
        </w:tc>
        <w:tc>
          <w:tcPr>
            <w:tcW w:w="1559" w:type="dxa"/>
          </w:tcPr>
          <w:p w14:paraId="25CB486D" w14:textId="761B5276" w:rsidR="00F23885" w:rsidRDefault="00F23885" w:rsidP="00F23885">
            <w:pPr>
              <w:spacing w:line="360" w:lineRule="auto"/>
              <w:jc w:val="center"/>
            </w:pPr>
            <w:r>
              <w:t xml:space="preserve">~ </w:t>
            </w:r>
            <w:r w:rsidR="00537535">
              <w:t>10.0</w:t>
            </w:r>
          </w:p>
        </w:tc>
      </w:tr>
      <w:tr w:rsidR="00F23885" w14:paraId="70533B61" w14:textId="045DF2FC" w:rsidTr="00CC7AD9">
        <w:trPr>
          <w:jc w:val="center"/>
        </w:trPr>
        <w:tc>
          <w:tcPr>
            <w:tcW w:w="924" w:type="dxa"/>
          </w:tcPr>
          <w:p w14:paraId="1FF138B0" w14:textId="1F49AF1A" w:rsidR="00F23885" w:rsidRDefault="00F23885" w:rsidP="00F23885">
            <w:pPr>
              <w:spacing w:line="360" w:lineRule="auto"/>
              <w:jc w:val="center"/>
            </w:pPr>
            <w:r>
              <w:t>Trial 2</w:t>
            </w:r>
          </w:p>
        </w:tc>
        <w:tc>
          <w:tcPr>
            <w:tcW w:w="1481" w:type="dxa"/>
          </w:tcPr>
          <w:p w14:paraId="041873CF" w14:textId="4AF55892" w:rsidR="00F23885" w:rsidRDefault="00F23885" w:rsidP="00F23885">
            <w:pPr>
              <w:spacing w:line="360" w:lineRule="auto"/>
              <w:jc w:val="center"/>
            </w:pPr>
            <w:r>
              <w:t>0%</w:t>
            </w:r>
          </w:p>
        </w:tc>
        <w:tc>
          <w:tcPr>
            <w:tcW w:w="1701" w:type="dxa"/>
          </w:tcPr>
          <w:p w14:paraId="5D4595D3" w14:textId="2D6B4DB3" w:rsidR="00F23885" w:rsidRDefault="00F23885" w:rsidP="00F23885">
            <w:pPr>
              <w:spacing w:line="360" w:lineRule="auto"/>
              <w:jc w:val="center"/>
            </w:pPr>
            <w:r>
              <w:t xml:space="preserve">~ </w:t>
            </w:r>
            <w:r w:rsidR="00537535">
              <w:t>20.0</w:t>
            </w:r>
          </w:p>
        </w:tc>
        <w:tc>
          <w:tcPr>
            <w:tcW w:w="1559" w:type="dxa"/>
          </w:tcPr>
          <w:p w14:paraId="233F57F5" w14:textId="0285B8E9" w:rsidR="00F23885" w:rsidRDefault="00F23885" w:rsidP="00F23885">
            <w:pPr>
              <w:spacing w:line="360" w:lineRule="auto"/>
              <w:jc w:val="center"/>
            </w:pPr>
            <w:r>
              <w:t xml:space="preserve">~ </w:t>
            </w:r>
            <w:r w:rsidR="00537535">
              <w:t>10.0</w:t>
            </w:r>
          </w:p>
        </w:tc>
      </w:tr>
      <w:tr w:rsidR="00F23885" w14:paraId="75D29BA5" w14:textId="3B16E82F" w:rsidTr="00CC7AD9">
        <w:trPr>
          <w:jc w:val="center"/>
        </w:trPr>
        <w:tc>
          <w:tcPr>
            <w:tcW w:w="924" w:type="dxa"/>
          </w:tcPr>
          <w:p w14:paraId="4419DF91" w14:textId="49EFA98C" w:rsidR="00F23885" w:rsidRDefault="00F23885" w:rsidP="00F23885">
            <w:pPr>
              <w:spacing w:line="360" w:lineRule="auto"/>
              <w:jc w:val="center"/>
            </w:pPr>
            <w:r>
              <w:t>Trial 3</w:t>
            </w:r>
          </w:p>
        </w:tc>
        <w:tc>
          <w:tcPr>
            <w:tcW w:w="1481" w:type="dxa"/>
          </w:tcPr>
          <w:p w14:paraId="2FA283BC" w14:textId="3B8DB238" w:rsidR="00F23885" w:rsidRDefault="00F23885" w:rsidP="00F23885">
            <w:pPr>
              <w:spacing w:line="360" w:lineRule="auto"/>
              <w:jc w:val="center"/>
            </w:pPr>
            <w:r>
              <w:t>~ 70%</w:t>
            </w:r>
          </w:p>
        </w:tc>
        <w:tc>
          <w:tcPr>
            <w:tcW w:w="1701" w:type="dxa"/>
          </w:tcPr>
          <w:p w14:paraId="66B0C01C" w14:textId="6A8B7064" w:rsidR="00F23885" w:rsidRDefault="00F23885" w:rsidP="00F23885">
            <w:pPr>
              <w:spacing w:line="360" w:lineRule="auto"/>
              <w:jc w:val="center"/>
            </w:pPr>
            <w:r>
              <w:t xml:space="preserve">~ </w:t>
            </w:r>
            <w:r w:rsidR="00537535">
              <w:t>20.0</w:t>
            </w:r>
          </w:p>
        </w:tc>
        <w:tc>
          <w:tcPr>
            <w:tcW w:w="1559" w:type="dxa"/>
          </w:tcPr>
          <w:p w14:paraId="78D622F2" w14:textId="52586C85" w:rsidR="00F23885" w:rsidRDefault="00F23885" w:rsidP="00F23885">
            <w:pPr>
              <w:spacing w:line="360" w:lineRule="auto"/>
              <w:jc w:val="center"/>
            </w:pPr>
            <w:r>
              <w:t xml:space="preserve">~ </w:t>
            </w:r>
            <w:r w:rsidR="00537535">
              <w:t>10.0</w:t>
            </w:r>
          </w:p>
        </w:tc>
      </w:tr>
    </w:tbl>
    <w:p w14:paraId="07C926A4" w14:textId="77777777" w:rsidR="007F5F06" w:rsidRDefault="007F5F06" w:rsidP="0084357C"/>
    <w:p w14:paraId="332A2E7B" w14:textId="5EC2B4DB" w:rsidR="00943ADF" w:rsidRDefault="006F3C5C" w:rsidP="006F3C5C">
      <w:pPr>
        <w:pStyle w:val="Heading3"/>
      </w:pPr>
      <w:r>
        <w:t>Changing Photo-Initiator and Co-Initiator Ratio</w:t>
      </w:r>
    </w:p>
    <w:p w14:paraId="2D7EAE0D" w14:textId="001294B0" w:rsidR="00943ADF" w:rsidRDefault="00AC08D3" w:rsidP="0084357C">
      <w:r>
        <w:t>Another o</w:t>
      </w:r>
      <w:r w:rsidR="00022006">
        <w:t xml:space="preserve">ne of the aspects to be examined was the ratio between the photo-initiator </w:t>
      </w:r>
      <w:r>
        <w:t>CQ</w:t>
      </w:r>
      <w:r w:rsidR="00022006">
        <w:t xml:space="preserve"> and the co-initiator DMA-EMA. </w:t>
      </w:r>
      <w:r w:rsidR="00225D2A">
        <w:t>Originally, and primarily, a 2:1 ratio was followed for co-</w:t>
      </w:r>
      <w:proofErr w:type="gramStart"/>
      <w:r w:rsidR="00225D2A">
        <w:t>initiator:photo</w:t>
      </w:r>
      <w:proofErr w:type="gramEnd"/>
      <w:r w:rsidR="00225D2A">
        <w:t>-initiator</w:t>
      </w:r>
      <w:r w:rsidR="00A05117">
        <w:t>.</w:t>
      </w:r>
      <w:r w:rsidR="00A05117">
        <w:rPr>
          <w:vertAlign w:val="superscript"/>
        </w:rPr>
        <w:t>5</w:t>
      </w:r>
      <w:r w:rsidR="00A05117">
        <w:t xml:space="preserve"> This was then </w:t>
      </w:r>
      <w:r w:rsidR="007F5195">
        <w:t xml:space="preserve">changed to a 1:2 ratio of </w:t>
      </w:r>
      <w:proofErr w:type="spellStart"/>
      <w:r w:rsidR="007F5195">
        <w:t>co-</w:t>
      </w:r>
      <w:proofErr w:type="gramStart"/>
      <w:r w:rsidR="007F5195">
        <w:t>initiator:photo</w:t>
      </w:r>
      <w:proofErr w:type="gramEnd"/>
      <w:r w:rsidR="007F5195">
        <w:t>-initiator</w:t>
      </w:r>
      <w:proofErr w:type="spellEnd"/>
      <w:r w:rsidR="007F5195">
        <w:t xml:space="preserve"> to see the effects.</w:t>
      </w:r>
    </w:p>
    <w:p w14:paraId="501C2254" w14:textId="77777777" w:rsidR="00FA7CAD" w:rsidRDefault="00FA7CAD" w:rsidP="0084357C"/>
    <w:p w14:paraId="2D579D5D" w14:textId="1156408D" w:rsidR="00F23885" w:rsidRDefault="00F23885" w:rsidP="00F23885">
      <w:pPr>
        <w:pStyle w:val="Caption"/>
        <w:keepNext/>
        <w:jc w:val="center"/>
      </w:pPr>
      <w:r>
        <w:t xml:space="preserve">Table </w:t>
      </w:r>
      <w:fldSimple w:instr=" SEQ Table \* ARABIC ">
        <w:r>
          <w:rPr>
            <w:noProof/>
          </w:rPr>
          <w:t>2</w:t>
        </w:r>
      </w:fldSimple>
      <w:r>
        <w:t>. Tabulated data of Trial 4 and 5 changing the ration of initiators</w:t>
      </w:r>
      <w:r w:rsidR="00CC7AD9">
        <w:t>.</w:t>
      </w:r>
    </w:p>
    <w:tbl>
      <w:tblPr>
        <w:tblStyle w:val="TableGrid"/>
        <w:tblW w:w="0" w:type="auto"/>
        <w:jc w:val="center"/>
        <w:tblLook w:val="04A0" w:firstRow="1" w:lastRow="0" w:firstColumn="1" w:lastColumn="0" w:noHBand="0" w:noVBand="1"/>
      </w:tblPr>
      <w:tblGrid>
        <w:gridCol w:w="1491"/>
        <w:gridCol w:w="1481"/>
        <w:gridCol w:w="1701"/>
        <w:gridCol w:w="1418"/>
      </w:tblGrid>
      <w:tr w:rsidR="0058147E" w14:paraId="52663651" w14:textId="29362441" w:rsidTr="00537535">
        <w:trPr>
          <w:jc w:val="center"/>
        </w:trPr>
        <w:tc>
          <w:tcPr>
            <w:tcW w:w="1491" w:type="dxa"/>
          </w:tcPr>
          <w:p w14:paraId="1A1458D8" w14:textId="77777777" w:rsidR="0058147E" w:rsidRDefault="0058147E" w:rsidP="00F23885">
            <w:pPr>
              <w:spacing w:line="360" w:lineRule="auto"/>
              <w:jc w:val="center"/>
            </w:pPr>
          </w:p>
        </w:tc>
        <w:tc>
          <w:tcPr>
            <w:tcW w:w="1481" w:type="dxa"/>
          </w:tcPr>
          <w:p w14:paraId="19A10C6B" w14:textId="5EDD796F" w:rsidR="0058147E" w:rsidRDefault="0058147E" w:rsidP="00F23885">
            <w:pPr>
              <w:spacing w:line="360" w:lineRule="auto"/>
              <w:jc w:val="center"/>
            </w:pPr>
            <w:r>
              <w:t>Filler (%</w:t>
            </w:r>
            <w:r w:rsidR="00537535">
              <w:t>w/w</w:t>
            </w:r>
            <w:r>
              <w:t>)</w:t>
            </w:r>
          </w:p>
        </w:tc>
        <w:tc>
          <w:tcPr>
            <w:tcW w:w="1701" w:type="dxa"/>
          </w:tcPr>
          <w:p w14:paraId="5DA959C5" w14:textId="0263A8B7" w:rsidR="0058147E" w:rsidRDefault="0058147E" w:rsidP="00F23885">
            <w:pPr>
              <w:spacing w:line="360" w:lineRule="auto"/>
              <w:jc w:val="center"/>
            </w:pPr>
            <w:r>
              <w:t>DMA-EMA</w:t>
            </w:r>
            <w:r w:rsidR="009D2AAD">
              <w:t xml:space="preserve"> (</w:t>
            </w:r>
            <w:r w:rsidR="00537535">
              <w:t>m</w:t>
            </w:r>
            <w:r w:rsidR="009D2AAD">
              <w:t>g)</w:t>
            </w:r>
          </w:p>
        </w:tc>
        <w:tc>
          <w:tcPr>
            <w:tcW w:w="1418" w:type="dxa"/>
          </w:tcPr>
          <w:p w14:paraId="1D199919" w14:textId="444C15AC" w:rsidR="0058147E" w:rsidRDefault="0058147E" w:rsidP="00F23885">
            <w:pPr>
              <w:spacing w:line="360" w:lineRule="auto"/>
              <w:jc w:val="center"/>
            </w:pPr>
            <w:r>
              <w:t>CQ</w:t>
            </w:r>
            <w:r w:rsidR="009D2AAD">
              <w:t xml:space="preserve"> (</w:t>
            </w:r>
            <w:r w:rsidR="00537535">
              <w:t>m</w:t>
            </w:r>
            <w:r w:rsidR="009D2AAD">
              <w:t>g)</w:t>
            </w:r>
          </w:p>
        </w:tc>
      </w:tr>
      <w:tr w:rsidR="0058147E" w14:paraId="19C98E73" w14:textId="0E337331" w:rsidTr="00537535">
        <w:trPr>
          <w:jc w:val="center"/>
        </w:trPr>
        <w:tc>
          <w:tcPr>
            <w:tcW w:w="1491" w:type="dxa"/>
          </w:tcPr>
          <w:p w14:paraId="363EAC46" w14:textId="4A659D2B" w:rsidR="0058147E" w:rsidRDefault="0058147E" w:rsidP="00F23885">
            <w:pPr>
              <w:spacing w:line="360" w:lineRule="auto"/>
              <w:jc w:val="center"/>
            </w:pPr>
            <w:r>
              <w:t xml:space="preserve">Trial </w:t>
            </w:r>
            <w:r w:rsidR="00F23885">
              <w:t>4</w:t>
            </w:r>
          </w:p>
        </w:tc>
        <w:tc>
          <w:tcPr>
            <w:tcW w:w="1481" w:type="dxa"/>
          </w:tcPr>
          <w:p w14:paraId="1D63D405" w14:textId="26BD1E32" w:rsidR="0058147E" w:rsidRDefault="0058147E" w:rsidP="00F23885">
            <w:pPr>
              <w:spacing w:line="360" w:lineRule="auto"/>
              <w:jc w:val="center"/>
            </w:pPr>
            <w:r>
              <w:t>~</w:t>
            </w:r>
            <w:r w:rsidR="00F23885">
              <w:t xml:space="preserve"> </w:t>
            </w:r>
            <w:r>
              <w:t>45%</w:t>
            </w:r>
          </w:p>
        </w:tc>
        <w:tc>
          <w:tcPr>
            <w:tcW w:w="1701" w:type="dxa"/>
          </w:tcPr>
          <w:p w14:paraId="582ECB62" w14:textId="3629BDB3" w:rsidR="0058147E" w:rsidRDefault="009D2AAD" w:rsidP="00F23885">
            <w:pPr>
              <w:spacing w:line="360" w:lineRule="auto"/>
              <w:jc w:val="center"/>
            </w:pPr>
            <w:r>
              <w:t>~</w:t>
            </w:r>
            <w:r w:rsidR="00F23885">
              <w:t xml:space="preserve"> </w:t>
            </w:r>
            <w:r w:rsidR="00537535">
              <w:t>20.0</w:t>
            </w:r>
          </w:p>
        </w:tc>
        <w:tc>
          <w:tcPr>
            <w:tcW w:w="1418" w:type="dxa"/>
          </w:tcPr>
          <w:p w14:paraId="66D6D6FF" w14:textId="1209D79D" w:rsidR="0058147E" w:rsidRDefault="009D2AAD" w:rsidP="00F23885">
            <w:pPr>
              <w:spacing w:line="360" w:lineRule="auto"/>
              <w:jc w:val="center"/>
            </w:pPr>
            <w:r>
              <w:t>~</w:t>
            </w:r>
            <w:r w:rsidR="00F23885">
              <w:t xml:space="preserve"> </w:t>
            </w:r>
            <w:r w:rsidR="00537535">
              <w:t>10.0</w:t>
            </w:r>
          </w:p>
        </w:tc>
      </w:tr>
      <w:tr w:rsidR="008B3D85" w14:paraId="19824484" w14:textId="77777777" w:rsidTr="00537535">
        <w:trPr>
          <w:jc w:val="center"/>
        </w:trPr>
        <w:tc>
          <w:tcPr>
            <w:tcW w:w="1491" w:type="dxa"/>
          </w:tcPr>
          <w:p w14:paraId="6C953611" w14:textId="603341B1" w:rsidR="008B3D85" w:rsidRDefault="008B3D85" w:rsidP="00F23885">
            <w:pPr>
              <w:spacing w:line="360" w:lineRule="auto"/>
              <w:jc w:val="center"/>
            </w:pPr>
            <w:r>
              <w:t xml:space="preserve">Trial </w:t>
            </w:r>
            <w:r w:rsidR="00F23885">
              <w:t>5</w:t>
            </w:r>
          </w:p>
        </w:tc>
        <w:tc>
          <w:tcPr>
            <w:tcW w:w="1481" w:type="dxa"/>
          </w:tcPr>
          <w:p w14:paraId="334821EA" w14:textId="403C1E15" w:rsidR="008B3D85" w:rsidRDefault="008B3D85" w:rsidP="00F23885">
            <w:pPr>
              <w:spacing w:line="360" w:lineRule="auto"/>
              <w:jc w:val="center"/>
            </w:pPr>
            <w:r>
              <w:t>~</w:t>
            </w:r>
            <w:r w:rsidR="00F23885">
              <w:t xml:space="preserve"> </w:t>
            </w:r>
            <w:r>
              <w:t>45%</w:t>
            </w:r>
          </w:p>
        </w:tc>
        <w:tc>
          <w:tcPr>
            <w:tcW w:w="1701" w:type="dxa"/>
          </w:tcPr>
          <w:p w14:paraId="7149CBAC" w14:textId="1B3A947A" w:rsidR="008B3D85" w:rsidRDefault="008B3D85" w:rsidP="00F23885">
            <w:pPr>
              <w:spacing w:line="360" w:lineRule="auto"/>
              <w:jc w:val="center"/>
            </w:pPr>
            <w:r>
              <w:t>~</w:t>
            </w:r>
            <w:r w:rsidR="00F23885">
              <w:t xml:space="preserve"> </w:t>
            </w:r>
            <w:r w:rsidR="00537535">
              <w:t>10.0</w:t>
            </w:r>
          </w:p>
        </w:tc>
        <w:tc>
          <w:tcPr>
            <w:tcW w:w="1418" w:type="dxa"/>
          </w:tcPr>
          <w:p w14:paraId="37177222" w14:textId="7B9508AB" w:rsidR="008B3D85" w:rsidRDefault="008B3D85" w:rsidP="00F23885">
            <w:pPr>
              <w:spacing w:line="360" w:lineRule="auto"/>
              <w:jc w:val="center"/>
            </w:pPr>
            <w:r>
              <w:t>~</w:t>
            </w:r>
            <w:r w:rsidR="00F23885">
              <w:t xml:space="preserve"> </w:t>
            </w:r>
            <w:r w:rsidR="00537535">
              <w:t>20.0</w:t>
            </w:r>
          </w:p>
        </w:tc>
      </w:tr>
    </w:tbl>
    <w:p w14:paraId="4BAC689B" w14:textId="77777777" w:rsidR="0058147E" w:rsidRDefault="0058147E" w:rsidP="0084357C"/>
    <w:p w14:paraId="7899AC61" w14:textId="77777777" w:rsidR="00FA7CAD" w:rsidRDefault="00FA7CAD" w:rsidP="00FA7CAD">
      <w:pPr>
        <w:pStyle w:val="Heading3"/>
      </w:pPr>
      <w:r>
        <w:t>Light Specificity</w:t>
      </w:r>
    </w:p>
    <w:p w14:paraId="05F73950" w14:textId="1BC67C12" w:rsidR="00C61DA9" w:rsidRDefault="00FA7CAD" w:rsidP="00FA7CAD">
      <w:r>
        <w:t xml:space="preserve">One quick trial that was run during the experiment was to prove the </w:t>
      </w:r>
      <w:r w:rsidR="006A0416">
        <w:t>reaction was activated specifically with blue light</w:t>
      </w:r>
      <w:r>
        <w:t>. To do this, two batches were made according to procedure 1 and then for 5 minutes, one was cured under blue light, while the other was cured under red light.</w:t>
      </w:r>
    </w:p>
    <w:p w14:paraId="13C8D8B1" w14:textId="77777777" w:rsidR="00FA7CAD" w:rsidRDefault="00FA7CAD" w:rsidP="00FA7CAD">
      <w:pPr>
        <w:rPr>
          <w:lang w:val="en-US"/>
        </w:rPr>
      </w:pPr>
    </w:p>
    <w:p w14:paraId="02E82457" w14:textId="0EF332CB" w:rsidR="0072779F" w:rsidRDefault="0072779F" w:rsidP="0072779F">
      <w:pPr>
        <w:pStyle w:val="Heading3"/>
      </w:pPr>
      <w:r>
        <w:t>Other DMAs</w:t>
      </w:r>
    </w:p>
    <w:p w14:paraId="7AF40502" w14:textId="321B7B10" w:rsidR="008F3763" w:rsidRDefault="00DE0FA7" w:rsidP="00857CCA">
      <w:r>
        <w:t xml:space="preserve">While TEG-DMA was used as the primary DMA throughout the trials, UDMA was also tested. The UDMA test consisted of following the same procedure and steps for TEG-DMA, however, no filler was used and no variations were done. </w:t>
      </w:r>
    </w:p>
    <w:p w14:paraId="17ABE284" w14:textId="77777777" w:rsidR="008F3763" w:rsidRDefault="008F3763" w:rsidP="00857CCA"/>
    <w:p w14:paraId="4CE5A253" w14:textId="5C007DCB" w:rsidR="00857CCA" w:rsidRDefault="00857CCA" w:rsidP="00857CCA">
      <w:pPr>
        <w:pStyle w:val="Heading3"/>
        <w:rPr>
          <w:lang w:val="en-US"/>
        </w:rPr>
      </w:pPr>
      <w:r>
        <w:rPr>
          <w:lang w:val="en-US"/>
        </w:rPr>
        <w:t>Learning Outcomes</w:t>
      </w:r>
    </w:p>
    <w:p w14:paraId="3ADF4A4D" w14:textId="5E4EB7A7" w:rsidR="00857CCA" w:rsidRDefault="00267D33" w:rsidP="00857CCA">
      <w:pPr>
        <w:rPr>
          <w:lang w:val="en-US"/>
        </w:rPr>
      </w:pPr>
      <w:r>
        <w:rPr>
          <w:lang w:val="en-US"/>
        </w:rPr>
        <w:t xml:space="preserve">Upon completion of this experiment, the following learning outcomes </w:t>
      </w:r>
      <w:r w:rsidR="008F3763">
        <w:rPr>
          <w:lang w:val="en-US"/>
        </w:rPr>
        <w:t>should be met:</w:t>
      </w:r>
    </w:p>
    <w:p w14:paraId="001996A4" w14:textId="6F3E6455"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Demonstrate proper use of Personal Protection Equipment (PPE) and safe handling of chemicals</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70B4CDF8" w14:textId="479C06F7"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Calculate stoichiometric amounts needed for reactions</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634E8C5E" w14:textId="47C415C2"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Use analytical balances to accurately weigh out reagents</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576BE191" w14:textId="7CA2ADA2" w:rsidR="008F3763" w:rsidRPr="008F3763" w:rsidRDefault="008F3763" w:rsidP="008F3763">
      <w:pPr>
        <w:pStyle w:val="paragraph"/>
        <w:numPr>
          <w:ilvl w:val="0"/>
          <w:numId w:val="9"/>
        </w:numPr>
        <w:spacing w:before="0" w:beforeAutospacing="0" w:after="0" w:afterAutospacing="0"/>
        <w:textAlignment w:val="baseline"/>
        <w:rPr>
          <w:rFonts w:asciiTheme="minorHAnsi" w:hAnsiTheme="minorHAnsi" w:cstheme="minorHAnsi"/>
          <w:sz w:val="22"/>
          <w:szCs w:val="22"/>
          <w:lang w:val="en-US"/>
        </w:rPr>
      </w:pPr>
      <w:r w:rsidRPr="008F3763">
        <w:rPr>
          <w:rStyle w:val="normaltextrun"/>
          <w:rFonts w:asciiTheme="minorHAnsi" w:eastAsiaTheme="majorEastAsia" w:hAnsiTheme="minorHAnsi" w:cstheme="minorHAnsi"/>
          <w:color w:val="000000"/>
          <w:position w:val="1"/>
          <w:sz w:val="22"/>
          <w:szCs w:val="22"/>
          <w:lang w:val="en-US"/>
        </w:rPr>
        <w:t>Investigate the effects of different wavelengths on a light activated reaction</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520BA0AC" w14:textId="4883A01F" w:rsidR="008F3763" w:rsidRPr="008F3763" w:rsidRDefault="008F3763" w:rsidP="00204899">
      <w:pPr>
        <w:pStyle w:val="paragraph"/>
        <w:numPr>
          <w:ilvl w:val="0"/>
          <w:numId w:val="9"/>
        </w:numPr>
        <w:spacing w:before="0" w:beforeAutospacing="0" w:after="0" w:afterAutospacing="0"/>
        <w:textAlignment w:val="baseline"/>
        <w:rPr>
          <w:lang w:val="en-US"/>
        </w:rPr>
      </w:pPr>
      <w:r w:rsidRPr="008F3763">
        <w:rPr>
          <w:rStyle w:val="normaltextrun"/>
          <w:rFonts w:asciiTheme="minorHAnsi" w:eastAsiaTheme="majorEastAsia" w:hAnsiTheme="minorHAnsi" w:cstheme="minorHAnsi"/>
          <w:color w:val="000000"/>
          <w:position w:val="1"/>
          <w:sz w:val="22"/>
          <w:szCs w:val="22"/>
          <w:lang w:val="en-US"/>
        </w:rPr>
        <w:t>Gain experience using FTIR instruments and interpreting spectra</w:t>
      </w:r>
      <w:r w:rsidRPr="008F3763">
        <w:rPr>
          <w:rStyle w:val="eop"/>
          <w:rFonts w:asciiTheme="minorHAnsi" w:eastAsiaTheme="majorEastAsia" w:hAnsiTheme="minorHAnsi" w:cstheme="minorHAnsi"/>
          <w:sz w:val="22"/>
          <w:szCs w:val="22"/>
          <w:lang w:val="en-US"/>
        </w:rPr>
        <w:t>​</w:t>
      </w:r>
      <w:r>
        <w:rPr>
          <w:rStyle w:val="eop"/>
          <w:rFonts w:asciiTheme="minorHAnsi" w:eastAsiaTheme="majorEastAsia" w:hAnsiTheme="minorHAnsi" w:cstheme="minorHAnsi"/>
          <w:sz w:val="22"/>
          <w:szCs w:val="22"/>
          <w:lang w:val="en-US"/>
        </w:rPr>
        <w:t>.</w:t>
      </w:r>
    </w:p>
    <w:p w14:paraId="66D2100D" w14:textId="2AAB3AB0" w:rsidR="008D0262" w:rsidRDefault="008D0262" w:rsidP="00DE7A87">
      <w:pPr>
        <w:pStyle w:val="Heading1"/>
      </w:pPr>
      <w:r>
        <w:lastRenderedPageBreak/>
        <w:t>Result</w:t>
      </w:r>
      <w:r w:rsidR="003C5C52">
        <w:t>s</w:t>
      </w:r>
    </w:p>
    <w:p w14:paraId="001E3290" w14:textId="460EFF75" w:rsidR="004A12EF" w:rsidRDefault="00DE7A87" w:rsidP="00DE7A87">
      <w:r>
        <w:t xml:space="preserve">After multiple trials, </w:t>
      </w:r>
      <w:r w:rsidR="001B1647">
        <w:t xml:space="preserve">the best mixture </w:t>
      </w:r>
      <w:r w:rsidR="000A56A9">
        <w:t>made</w:t>
      </w:r>
      <w:r w:rsidR="00D265CE">
        <w:t xml:space="preserve">, based on </w:t>
      </w:r>
      <w:r w:rsidR="004A6EBF">
        <w:t>consistency and properties after curing under blue light,</w:t>
      </w:r>
      <w:r w:rsidR="000A56A9">
        <w:t xml:space="preserve"> was using </w:t>
      </w:r>
      <w:r w:rsidR="0092116F">
        <w:t>1.000</w:t>
      </w:r>
      <w:r w:rsidR="007C36B0">
        <w:t xml:space="preserve"> </w:t>
      </w:r>
      <w:r w:rsidR="0092116F">
        <w:t>g TEG-DMA with 0.01</w:t>
      </w:r>
      <w:r w:rsidR="008B3D85">
        <w:t>00</w:t>
      </w:r>
      <w:r w:rsidR="007F55B5">
        <w:t xml:space="preserve"> </w:t>
      </w:r>
      <w:r w:rsidR="0092116F">
        <w:t>g CQ</w:t>
      </w:r>
      <w:r w:rsidR="0001236F">
        <w:t xml:space="preserve"> (1</w:t>
      </w:r>
      <w:r w:rsidR="008B3D85">
        <w:t>.</w:t>
      </w:r>
      <w:r w:rsidR="0001236F">
        <w:t>0% w/w)</w:t>
      </w:r>
      <w:r w:rsidR="0092116F">
        <w:t xml:space="preserve"> and 0.02</w:t>
      </w:r>
      <w:r w:rsidR="008B3D85">
        <w:t>0</w:t>
      </w:r>
      <w:r w:rsidR="0092116F">
        <w:t>0</w:t>
      </w:r>
      <w:r w:rsidR="007C36B0">
        <w:t xml:space="preserve"> </w:t>
      </w:r>
      <w:r w:rsidR="0092116F">
        <w:t>g DMA-EMA</w:t>
      </w:r>
      <w:r w:rsidR="0001236F">
        <w:t xml:space="preserve"> (2</w:t>
      </w:r>
      <w:r w:rsidR="008B3D85">
        <w:t>.</w:t>
      </w:r>
      <w:r w:rsidR="0001236F">
        <w:t>0% w/w)</w:t>
      </w:r>
      <w:r w:rsidR="005664AF">
        <w:t xml:space="preserve"> along with </w:t>
      </w:r>
      <w:r w:rsidR="003D6759">
        <w:t>0.</w:t>
      </w:r>
      <w:r w:rsidR="008308D7">
        <w:t>4500 g (</w:t>
      </w:r>
      <w:r w:rsidR="005664AF">
        <w:t xml:space="preserve">45% </w:t>
      </w:r>
      <w:r w:rsidR="008308D7">
        <w:t>w/w)</w:t>
      </w:r>
      <w:r w:rsidR="005664AF">
        <w:t xml:space="preserve"> </w:t>
      </w:r>
      <w:r w:rsidR="007F412D">
        <w:t>of silica gel 200-400 mesh based on the amount of TEG-DMA used</w:t>
      </w:r>
      <w:r w:rsidR="005664AF">
        <w:t xml:space="preserve">. </w:t>
      </w:r>
    </w:p>
    <w:p w14:paraId="406BC2D0" w14:textId="77777777" w:rsidR="00F87995" w:rsidRDefault="00F87995" w:rsidP="00F87995">
      <w:pPr>
        <w:pStyle w:val="Heading3"/>
      </w:pPr>
    </w:p>
    <w:p w14:paraId="564C393D" w14:textId="5962DAAB" w:rsidR="00F87995" w:rsidRDefault="00F87995" w:rsidP="00F87995">
      <w:pPr>
        <w:pStyle w:val="Heading3"/>
      </w:pPr>
      <w:r>
        <w:t>Filler</w:t>
      </w:r>
    </w:p>
    <w:p w14:paraId="453CB1CD" w14:textId="1571C95D" w:rsidR="00F87995" w:rsidRDefault="00F87995" w:rsidP="00F87995">
      <w:r>
        <w:t xml:space="preserve">Using the original composition amounts </w:t>
      </w:r>
      <w:r w:rsidR="00154A3B">
        <w:t>outlined</w:t>
      </w:r>
      <w:r>
        <w:t xml:space="preserve"> in procedure 1, three batches of TEG-DMA, CQ, and DMA-EMA were made with no filler, 45% w/w filler (based on weight of TEG-DMA used), and 70% filler according to a literature reference.</w:t>
      </w:r>
      <w:r>
        <w:rPr>
          <w:vertAlign w:val="superscript"/>
        </w:rPr>
        <w:t>4</w:t>
      </w:r>
      <w:r>
        <w:t xml:space="preserve"> While the article used as reference for the procedure did use 70% filler, it was found that, for our experiment and materials, 70% filler was too much. When 70% weight of silica gel was added, the mixture became </w:t>
      </w:r>
      <w:r w:rsidR="008E0BD0">
        <w:t xml:space="preserve">too gritty and </w:t>
      </w:r>
      <w:r>
        <w:t>sand</w:t>
      </w:r>
      <w:r w:rsidR="007F55B5">
        <w:t>-</w:t>
      </w:r>
      <w:r>
        <w:t>like and created small clumps. Upon curing this trial, it went from yellow clumps of a soft, sand like, mixture to hard and brittle clumps that were more white</w:t>
      </w:r>
      <w:r w:rsidR="007F55B5">
        <w:t>-</w:t>
      </w:r>
      <w:r w:rsidR="000C04B6">
        <w:t>coloured</w:t>
      </w:r>
      <w:r>
        <w:t xml:space="preserve"> than any other mixture tested. This is most likely due to the excess of filler used causing it to wash out the yellow colour.</w:t>
      </w:r>
    </w:p>
    <w:p w14:paraId="447DDABE" w14:textId="33684EC3" w:rsidR="00F87995" w:rsidRDefault="00F87995" w:rsidP="00F87995">
      <w:r>
        <w:t xml:space="preserve">The mixture made with no filler was as expected. This mixture had the same yellow colour as the rest and was far less viscous. The main point of interest for this mixture is that, when curing, it was found to be slightly </w:t>
      </w:r>
      <w:proofErr w:type="gramStart"/>
      <w:r>
        <w:t>more oily</w:t>
      </w:r>
      <w:proofErr w:type="gramEnd"/>
      <w:r>
        <w:t xml:space="preserve"> than the others. Even when hard after curing, the top of the mixture would appear to be oily with a slight sticky or tacky feeling. This was addressed when </w:t>
      </w:r>
      <w:r w:rsidR="00266AF2">
        <w:t>subjected to longer cure times</w:t>
      </w:r>
      <w:r>
        <w:t>.</w:t>
      </w:r>
    </w:p>
    <w:p w14:paraId="2B3D79A0" w14:textId="77777777" w:rsidR="00F87995" w:rsidRDefault="00F87995" w:rsidP="00F87995">
      <w:r>
        <w:t xml:space="preserve">The last mixture composition tested was 45% filler added. This amount was closest to the desired consistency and properties. It remained slightly tacky and sticky before curing, while also being viscous enough to hold its shape. After curing, it remained hard and durable to when force was applied unlike the other two trials. </w:t>
      </w:r>
    </w:p>
    <w:p w14:paraId="72F6060B" w14:textId="7A579AAE" w:rsidR="00AC6C2E" w:rsidRDefault="00AC6C2E" w:rsidP="00F87995">
      <w:r>
        <w:t>Overall, varying</w:t>
      </w:r>
      <w:r w:rsidR="0049415D">
        <w:t xml:space="preserve"> filler resulted in vastly different mixture as pictured in Figure </w:t>
      </w:r>
      <w:r w:rsidR="00B848D9">
        <w:t>8</w:t>
      </w:r>
      <w:r w:rsidR="0049415D">
        <w:t xml:space="preserve"> below.</w:t>
      </w:r>
    </w:p>
    <w:p w14:paraId="706FB75A" w14:textId="77777777" w:rsidR="00F87995" w:rsidRDefault="00F87995" w:rsidP="00F87995">
      <w:pPr>
        <w:keepNext/>
      </w:pPr>
      <w:r w:rsidRPr="00C61DA9">
        <w:rPr>
          <w:noProof/>
        </w:rPr>
        <w:drawing>
          <wp:inline distT="0" distB="0" distL="0" distR="0" wp14:anchorId="2D9D7D94" wp14:editId="64FCE215">
            <wp:extent cx="5638800" cy="2934465"/>
            <wp:effectExtent l="0" t="0" r="0" b="0"/>
            <wp:docPr id="937387253" name="Picture 1" descr="A beaker with yellow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7253" name="Picture 1" descr="A beaker with yellow liquid in it&#10;&#10;Description automatically generated"/>
                    <pic:cNvPicPr/>
                  </pic:nvPicPr>
                  <pic:blipFill>
                    <a:blip r:embed="rId28"/>
                    <a:stretch>
                      <a:fillRect/>
                    </a:stretch>
                  </pic:blipFill>
                  <pic:spPr>
                    <a:xfrm>
                      <a:off x="0" y="0"/>
                      <a:ext cx="5640189" cy="2935188"/>
                    </a:xfrm>
                    <a:prstGeom prst="rect">
                      <a:avLst/>
                    </a:prstGeom>
                  </pic:spPr>
                </pic:pic>
              </a:graphicData>
            </a:graphic>
          </wp:inline>
        </w:drawing>
      </w:r>
    </w:p>
    <w:p w14:paraId="08D9FBCC" w14:textId="2A5B5E85" w:rsidR="00F87995" w:rsidRDefault="00F87995" w:rsidP="00F87995">
      <w:pPr>
        <w:pStyle w:val="Caption"/>
      </w:pPr>
      <w:r>
        <w:t>Figure</w:t>
      </w:r>
      <w:r w:rsidR="00B848D9">
        <w:t xml:space="preserve"> 8</w:t>
      </w:r>
      <w:r>
        <w:t>. Visual of the three different trial mixtures with varying filler amounts (1 - 45%</w:t>
      </w:r>
      <w:r w:rsidR="00D577F8">
        <w:t>w/w</w:t>
      </w:r>
      <w:r>
        <w:t>, 2 - 0%</w:t>
      </w:r>
      <w:r w:rsidR="00D577F8">
        <w:t>w/w</w:t>
      </w:r>
      <w:r>
        <w:t>, 3 - 70%</w:t>
      </w:r>
      <w:r w:rsidR="00D577F8">
        <w:t>w/w</w:t>
      </w:r>
      <w:r>
        <w:t>)</w:t>
      </w:r>
      <w:r w:rsidR="00CD4076">
        <w:t>.</w:t>
      </w:r>
    </w:p>
    <w:p w14:paraId="0CC1DB1A" w14:textId="77777777" w:rsidR="00F87995" w:rsidRDefault="00F87995" w:rsidP="00F87995">
      <w:pPr>
        <w:pStyle w:val="Heading3"/>
      </w:pPr>
      <w:r>
        <w:lastRenderedPageBreak/>
        <w:t>Photo-initiator and Co-initiator Ratio</w:t>
      </w:r>
    </w:p>
    <w:p w14:paraId="47A91531" w14:textId="787734FD" w:rsidR="005359B4" w:rsidRDefault="00F87995" w:rsidP="00F87995">
      <w:r>
        <w:t xml:space="preserve">This ratio of 1:2 </w:t>
      </w:r>
      <w:r w:rsidR="000C05F1">
        <w:t xml:space="preserve">of </w:t>
      </w:r>
      <w:proofErr w:type="gramStart"/>
      <w:r w:rsidR="000C05F1">
        <w:t>CQ:DMA</w:t>
      </w:r>
      <w:proofErr w:type="gramEnd"/>
      <w:r w:rsidR="000C05F1">
        <w:t xml:space="preserve">-EMA </w:t>
      </w:r>
      <w:r>
        <w:t>was used as it provided the ideal viscosity for our testing.</w:t>
      </w:r>
      <w:r w:rsidR="0075164D">
        <w:t xml:space="preserve"> This viscosity provided a good match to how some dental fillings appear before curing.</w:t>
      </w:r>
      <w:r>
        <w:t xml:space="preserve"> Having more photo-initiator did not seem to affect the overall cure-time, although that may be due to the light used in this experiment limiting the reaction because of lack of intensity</w:t>
      </w:r>
      <w:r w:rsidR="005359B4">
        <w:t xml:space="preserve"> and therefore cannot penetrate well,</w:t>
      </w:r>
      <w:r>
        <w:t xml:space="preserve"> o</w:t>
      </w:r>
      <w:r w:rsidR="00845441">
        <w:t>r</w:t>
      </w:r>
      <w:r>
        <w:t xml:space="preserve"> not being in the optimal wavelength range</w:t>
      </w:r>
      <w:r w:rsidR="005359B4">
        <w:t xml:space="preserve"> resulting in sub-optimal activation</w:t>
      </w:r>
      <w:r>
        <w:t>. Instead, the higher photo-initiator ratio seemed to make the mixture less viscous. This is</w:t>
      </w:r>
      <w:r w:rsidR="007D6BA9">
        <w:t xml:space="preserve"> no</w:t>
      </w:r>
      <w:r>
        <w:t>t ideal as we are trying to establish a composition of chemicals that closely resembles dental filling mixtures.</w:t>
      </w:r>
    </w:p>
    <w:p w14:paraId="54E1F206" w14:textId="401A042F" w:rsidR="00BD7DAC" w:rsidRDefault="005359B4" w:rsidP="00F87995">
      <w:r>
        <w:rPr>
          <w:noProof/>
        </w:rPr>
        <mc:AlternateContent>
          <mc:Choice Requires="wps">
            <w:drawing>
              <wp:anchor distT="0" distB="0" distL="114300" distR="114300" simplePos="0" relativeHeight="251660289" behindDoc="0" locked="0" layoutInCell="1" allowOverlap="1" wp14:anchorId="11460C35" wp14:editId="411F68B9">
                <wp:simplePos x="0" y="0"/>
                <wp:positionH relativeFrom="margin">
                  <wp:align>left</wp:align>
                </wp:positionH>
                <wp:positionV relativeFrom="paragraph">
                  <wp:posOffset>2276475</wp:posOffset>
                </wp:positionV>
                <wp:extent cx="5781675" cy="635"/>
                <wp:effectExtent l="0" t="0" r="9525" b="0"/>
                <wp:wrapSquare wrapText="bothSides"/>
                <wp:docPr id="955910947" name="Text Box 1"/>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wps:spPr>
                      <wps:txbx>
                        <w:txbxContent>
                          <w:p w14:paraId="519CF077" w14:textId="4EEE4651" w:rsidR="00F87995" w:rsidRPr="00B84D96" w:rsidRDefault="00F87995" w:rsidP="00F87995">
                            <w:pPr>
                              <w:pStyle w:val="Caption"/>
                              <w:rPr>
                                <w:sz w:val="22"/>
                                <w:szCs w:val="22"/>
                              </w:rPr>
                            </w:pPr>
                            <w:r>
                              <w:t xml:space="preserve">Figure </w:t>
                            </w:r>
                            <w:r w:rsidR="00B848D9">
                              <w:t>9</w:t>
                            </w:r>
                            <w:r>
                              <w:t>. Visual showcase of the different viscosities when using 2:1 ratio of DMA-EMA:CQ (left) and 1:2 ratio of DMA-EMA:CQ (right)</w:t>
                            </w:r>
                            <w:r w:rsidR="00A35EB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460C35" id="_x0000_t202" coordsize="21600,21600" o:spt="202" path="m,l,21600r21600,l21600,xe">
                <v:stroke joinstyle="miter"/>
                <v:path gradientshapeok="t" o:connecttype="rect"/>
              </v:shapetype>
              <v:shape id="Text Box 1" o:spid="_x0000_s1026" type="#_x0000_t202" style="position:absolute;margin-left:0;margin-top:179.25pt;width:455.25pt;height:.05pt;z-index:25166028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" stroked="f">
                <v:textbox style="mso-fit-shape-to-text:t" inset="0,0,0,0">
                  <w:txbxContent>
                    <w:p w14:paraId="519CF077" w14:textId="4EEE4651" w:rsidR="00F87995" w:rsidRPr="00B84D96" w:rsidRDefault="00F87995" w:rsidP="00F87995">
                      <w:pPr>
                        <w:pStyle w:val="Caption"/>
                        <w:rPr>
                          <w:sz w:val="22"/>
                          <w:szCs w:val="22"/>
                        </w:rPr>
                      </w:pPr>
                      <w:r>
                        <w:t xml:space="preserve">Figure </w:t>
                      </w:r>
                      <w:r w:rsidR="00B848D9">
                        <w:t>9</w:t>
                      </w:r>
                      <w:r>
                        <w:t>. Visual showcase of the different viscosities when using 2:1 ratio of DMA-EMA:CQ (left) and 1:2 ratio of DMA-EMA:CQ (right)</w:t>
                      </w:r>
                      <w:r w:rsidR="00A35EBD">
                        <w:t>.</w:t>
                      </w:r>
                    </w:p>
                  </w:txbxContent>
                </v:textbox>
                <w10:wrap type="square" anchorx="margin"/>
              </v:shape>
            </w:pict>
          </mc:Fallback>
        </mc:AlternateContent>
      </w:r>
      <w:r w:rsidR="00F87995" w:rsidRPr="00A655DD">
        <w:rPr>
          <w:noProof/>
        </w:rPr>
        <w:drawing>
          <wp:inline distT="0" distB="0" distL="0" distR="0" wp14:anchorId="3FBBB680" wp14:editId="1F5512B6">
            <wp:extent cx="2771775" cy="2238375"/>
            <wp:effectExtent l="0" t="0" r="9525" b="9525"/>
            <wp:docPr id="2073996932" name="Picture 1" descr="A hand holding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96932" name="Picture 1" descr="A hand holding a plastic contain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71775" cy="2238375"/>
                    </a:xfrm>
                    <a:prstGeom prst="rect">
                      <a:avLst/>
                    </a:prstGeom>
                  </pic:spPr>
                </pic:pic>
              </a:graphicData>
            </a:graphic>
          </wp:inline>
        </w:drawing>
      </w:r>
      <w:r w:rsidR="00F87995" w:rsidRPr="003D611D">
        <w:rPr>
          <w:noProof/>
        </w:rPr>
        <w:drawing>
          <wp:inline distT="0" distB="0" distL="0" distR="0" wp14:anchorId="1DBB8B2A" wp14:editId="3ED682D4">
            <wp:extent cx="2857500" cy="2238375"/>
            <wp:effectExtent l="0" t="0" r="0" b="9525"/>
            <wp:docPr id="69299707" name="Picture 1" descr="A hand holding a small plastic container with yellow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9707" name="Picture 1" descr="A hand holding a small plastic container with yellow liqui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p w14:paraId="19E3E170" w14:textId="77777777" w:rsidR="00F87995" w:rsidRDefault="00F87995" w:rsidP="00DE7A87"/>
    <w:p w14:paraId="37A72D8E" w14:textId="6EAC88E8" w:rsidR="00623C86" w:rsidRDefault="00623C86" w:rsidP="00623C86">
      <w:pPr>
        <w:pStyle w:val="Heading3"/>
      </w:pPr>
      <w:r>
        <w:t>Light Specificity</w:t>
      </w:r>
    </w:p>
    <w:p w14:paraId="74F6D37C" w14:textId="36A50967" w:rsidR="00002F53" w:rsidRDefault="00172152" w:rsidP="00DE7A87">
      <w:r>
        <w:t>When viewing the effect of light specificity, it was found that</w:t>
      </w:r>
      <w:r w:rsidR="00B6784C">
        <w:t xml:space="preserve"> the batch under red light remained </w:t>
      </w:r>
      <w:r w:rsidR="00630B19">
        <w:t>a liquid while the batch under the blue light had solidified</w:t>
      </w:r>
      <w:r w:rsidR="00BB7D03">
        <w:t xml:space="preserve"> after the predetermined cure time</w:t>
      </w:r>
      <w:r w:rsidR="00630B19">
        <w:t>. This reaction</w:t>
      </w:r>
      <w:r w:rsidR="00523E08">
        <w:t>,</w:t>
      </w:r>
      <w:r w:rsidR="00630B19">
        <w:t xml:space="preserve"> or lack there of</w:t>
      </w:r>
      <w:r w:rsidR="00523E08">
        <w:t>,</w:t>
      </w:r>
      <w:r w:rsidR="00630B19">
        <w:t xml:space="preserve"> was further confirmed using </w:t>
      </w:r>
      <w:r w:rsidR="00F83AFE">
        <w:t xml:space="preserve">Fourier Transform Infrared Spectroscopy or </w:t>
      </w:r>
      <w:r w:rsidR="00630B19" w:rsidRPr="00957F7A">
        <w:t>FTIR</w:t>
      </w:r>
      <w:r w:rsidR="00D70169" w:rsidRPr="00957F7A">
        <w:t xml:space="preserve"> (see </w:t>
      </w:r>
      <w:r w:rsidR="00957F7A">
        <w:t>Figure</w:t>
      </w:r>
      <w:r w:rsidR="004F59AE">
        <w:t>s</w:t>
      </w:r>
      <w:r w:rsidR="00957F7A">
        <w:t xml:space="preserve"> </w:t>
      </w:r>
      <w:r w:rsidR="00B848D9">
        <w:t>10</w:t>
      </w:r>
      <w:r w:rsidR="00D70169" w:rsidRPr="00957F7A">
        <w:t xml:space="preserve"> and</w:t>
      </w:r>
      <w:r w:rsidR="00957F7A">
        <w:t xml:space="preserve"> </w:t>
      </w:r>
      <w:r w:rsidR="00B848D9">
        <w:t>11</w:t>
      </w:r>
      <w:r w:rsidR="00D70169" w:rsidRPr="00957F7A">
        <w:t>)</w:t>
      </w:r>
      <w:r w:rsidR="00423233" w:rsidRPr="00957F7A">
        <w:t>.</w:t>
      </w:r>
      <w:r w:rsidR="00423233">
        <w:t xml:space="preserve"> The peak that helps identify the polymer reaction </w:t>
      </w:r>
      <w:r w:rsidR="00065FE7">
        <w:t xml:space="preserve">proceeding, </w:t>
      </w:r>
      <w:r w:rsidR="00423233">
        <w:t>would be the C=C</w:t>
      </w:r>
      <w:r w:rsidR="001A3D7F">
        <w:t xml:space="preserve"> peak. When the polymerization reaction happens, the radical reaction causes the los</w:t>
      </w:r>
      <w:r w:rsidR="00B1286F">
        <w:t>s</w:t>
      </w:r>
      <w:r w:rsidR="001A3D7F">
        <w:t xml:space="preserve"> of the C=C to form a connection</w:t>
      </w:r>
      <w:r w:rsidR="002F7E3B">
        <w:t xml:space="preserve">. In the </w:t>
      </w:r>
      <w:r w:rsidR="00957F7A">
        <w:t>red-light</w:t>
      </w:r>
      <w:r w:rsidR="002F7E3B">
        <w:t xml:space="preserve"> IR </w:t>
      </w:r>
      <w:r w:rsidR="00523E08">
        <w:t>spectrum,</w:t>
      </w:r>
      <w:r w:rsidR="002F7E3B">
        <w:t xml:space="preserve"> we can see a strong peak around 16</w:t>
      </w:r>
      <w:r w:rsidR="00BD6596">
        <w:t>37cm</w:t>
      </w:r>
      <w:r w:rsidR="00BD6596">
        <w:rPr>
          <w:vertAlign w:val="superscript"/>
        </w:rPr>
        <w:t>-1</w:t>
      </w:r>
      <w:r w:rsidR="00BD6596">
        <w:t xml:space="preserve"> while in the blue light IR spectrum, the 1637cm</w:t>
      </w:r>
      <w:r w:rsidR="00BD6596">
        <w:rPr>
          <w:vertAlign w:val="superscript"/>
        </w:rPr>
        <w:t>-1</w:t>
      </w:r>
      <w:r w:rsidR="00BD6596">
        <w:t xml:space="preserve"> peak is, relatively, much weaker. While it still being there means some </w:t>
      </w:r>
      <w:r w:rsidR="00D13618">
        <w:t>molecules are left unreacted, it being much weaker shows that majority of the molecules have reacted to form the polymer chain.</w:t>
      </w:r>
    </w:p>
    <w:p w14:paraId="1F3B7307" w14:textId="77777777" w:rsidR="00B86399" w:rsidRDefault="00B86399" w:rsidP="005975EC"/>
    <w:p w14:paraId="5F1DD054" w14:textId="66A44907" w:rsidR="00D70169" w:rsidRDefault="00ED2408" w:rsidP="00D70169">
      <w:pPr>
        <w:keepNext/>
      </w:pPr>
      <w:r w:rsidRPr="00ED2408">
        <w:rPr>
          <w:noProof/>
        </w:rPr>
        <w:lastRenderedPageBreak/>
        <w:drawing>
          <wp:inline distT="0" distB="0" distL="0" distR="0" wp14:anchorId="47927100" wp14:editId="6275EA37">
            <wp:extent cx="7841523" cy="5010467"/>
            <wp:effectExtent l="5715" t="0" r="0" b="0"/>
            <wp:docPr id="1323255166" name="Picture 1" descr="A graph of a graph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5166" name="Picture 1" descr="A graph of a graph of a substance&#10;&#10;Description automatically generated with medium confidence"/>
                    <pic:cNvPicPr/>
                  </pic:nvPicPr>
                  <pic:blipFill>
                    <a:blip r:embed="rId31"/>
                    <a:stretch>
                      <a:fillRect/>
                    </a:stretch>
                  </pic:blipFill>
                  <pic:spPr>
                    <a:xfrm rot="16200000">
                      <a:off x="0" y="0"/>
                      <a:ext cx="7853567" cy="5018163"/>
                    </a:xfrm>
                    <a:prstGeom prst="rect">
                      <a:avLst/>
                    </a:prstGeom>
                  </pic:spPr>
                </pic:pic>
              </a:graphicData>
            </a:graphic>
          </wp:inline>
        </w:drawing>
      </w:r>
    </w:p>
    <w:p w14:paraId="6CBFE50C" w14:textId="260C6CC4" w:rsidR="00D70169" w:rsidRDefault="00D70169" w:rsidP="00D70169">
      <w:pPr>
        <w:pStyle w:val="Caption"/>
      </w:pPr>
      <w:r>
        <w:t xml:space="preserve">Figure </w:t>
      </w:r>
      <w:r w:rsidR="00B848D9">
        <w:t>10</w:t>
      </w:r>
      <w:r>
        <w:t>. FTIR spectrum of TEG-DMA+CQ+DMA-EMA under blue light for 5 minutes</w:t>
      </w:r>
      <w:r w:rsidR="00A35EBD">
        <w:t>.</w:t>
      </w:r>
    </w:p>
    <w:p w14:paraId="1E8EDF34" w14:textId="77777777" w:rsidR="008D677A" w:rsidRDefault="008D677A" w:rsidP="008D677A">
      <w:pPr>
        <w:keepNext/>
      </w:pPr>
      <w:r w:rsidRPr="008D677A">
        <w:rPr>
          <w:noProof/>
        </w:rPr>
        <w:lastRenderedPageBreak/>
        <w:drawing>
          <wp:inline distT="0" distB="0" distL="0" distR="0" wp14:anchorId="5EE71E09" wp14:editId="25778FDD">
            <wp:extent cx="5653670" cy="7422254"/>
            <wp:effectExtent l="0" t="0" r="4445" b="7620"/>
            <wp:docPr id="255121093" name="Picture 1" descr="A white pape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21093" name="Picture 1" descr="A white paper with numbers and lines&#10;&#10;Description automatically generated"/>
                    <pic:cNvPicPr/>
                  </pic:nvPicPr>
                  <pic:blipFill>
                    <a:blip r:embed="rId32"/>
                    <a:stretch>
                      <a:fillRect/>
                    </a:stretch>
                  </pic:blipFill>
                  <pic:spPr>
                    <a:xfrm rot="10800000">
                      <a:off x="0" y="0"/>
                      <a:ext cx="5663236" cy="7434813"/>
                    </a:xfrm>
                    <a:prstGeom prst="rect">
                      <a:avLst/>
                    </a:prstGeom>
                  </pic:spPr>
                </pic:pic>
              </a:graphicData>
            </a:graphic>
          </wp:inline>
        </w:drawing>
      </w:r>
    </w:p>
    <w:p w14:paraId="7806E778" w14:textId="091132B4" w:rsidR="00FC1D25" w:rsidRDefault="008D677A" w:rsidP="00FC1D25">
      <w:pPr>
        <w:pStyle w:val="Caption"/>
      </w:pPr>
      <w:r>
        <w:t xml:space="preserve">Figure </w:t>
      </w:r>
      <w:r w:rsidR="00B848D9">
        <w:t>11</w:t>
      </w:r>
      <w:r>
        <w:t>. FTIR spectrum of TEG-DMA+CQ+DMA-EMA under red light for 5 minut</w:t>
      </w:r>
      <w:r w:rsidR="00D1215F">
        <w:t>es</w:t>
      </w:r>
      <w:r w:rsidR="006F7A4E">
        <w:t>.</w:t>
      </w:r>
    </w:p>
    <w:p w14:paraId="6CDA5126" w14:textId="77777777" w:rsidR="009D304A" w:rsidRDefault="009D304A" w:rsidP="009D304A"/>
    <w:p w14:paraId="686D4484" w14:textId="77777777" w:rsidR="009D304A" w:rsidRPr="00427152" w:rsidRDefault="009D304A" w:rsidP="009D304A">
      <w:pPr>
        <w:pStyle w:val="Heading3"/>
        <w:rPr>
          <w:lang w:val="en-US"/>
        </w:rPr>
      </w:pPr>
      <w:r>
        <w:rPr>
          <w:lang w:val="en-US"/>
        </w:rPr>
        <w:lastRenderedPageBreak/>
        <w:t>Other DMAs</w:t>
      </w:r>
    </w:p>
    <w:p w14:paraId="42EA65FA" w14:textId="227C2D48" w:rsidR="009D304A" w:rsidRDefault="009D304A" w:rsidP="009D304A">
      <w:r>
        <w:t xml:space="preserve">UDMA was much harder to work with and as such, TEG-DMA was primarily used. This, however, does not mean UDMA did not work. UDMA was simply much more viscous on its own when compared to TEG-DMA. While TEG-DMA was a liquid that seemed to have a slight thickness to it, UDMA was much more like honey; it was very sticky and did not flow well. </w:t>
      </w:r>
      <w:proofErr w:type="gramStart"/>
      <w:r>
        <w:t>That being said, a</w:t>
      </w:r>
      <w:proofErr w:type="gramEnd"/>
      <w:r>
        <w:t xml:space="preserve"> test was still performed with UDMA. This test did not use filler as UDMA alone was thick enough to hold its shape. Once cured, an IR spectrum was obtained. This mixture showed similarities to the 45% filler mixture with TEG-DMA. Both the trial 1 of TEG-DMA and UDMA mixtures were yellow in colour, had a honey-like thickness before curing and when cured, solidified to be hard to the touch. In the before and after curing IR for UDMA (Figures 12 and 13, respectively), we can see that the peaks around 3300 cm</w:t>
      </w:r>
      <w:r>
        <w:rPr>
          <w:vertAlign w:val="superscript"/>
        </w:rPr>
        <w:t xml:space="preserve">-1 </w:t>
      </w:r>
      <w:r>
        <w:t>and ~1640 cm</w:t>
      </w:r>
      <w:r>
        <w:rPr>
          <w:vertAlign w:val="superscript"/>
        </w:rPr>
        <w:t>-1</w:t>
      </w:r>
      <w:r>
        <w:t xml:space="preserve"> both decrease once cured. These two peaks are most likely the N-H and C=C peaks respectively. The drop in peak absorbance for both is most likely proof of the polymerization reaction happening. When forming polymers, as discussed before, the C=C is lost in the radical reaction. It could also be theorized that the N-H bonds are involved in H-bonding/forming the crosslinks when polymerized, therefore, we see a drop in absorbance intensity.</w:t>
      </w:r>
    </w:p>
    <w:p w14:paraId="46A94FF5" w14:textId="77777777" w:rsidR="009D304A" w:rsidRPr="009D304A" w:rsidRDefault="009D304A" w:rsidP="009D304A"/>
    <w:p w14:paraId="7CE3030E" w14:textId="14FF9EFA" w:rsidR="00FC1D25" w:rsidRDefault="009D304A" w:rsidP="00FC1D25">
      <w:pPr>
        <w:pStyle w:val="Caption"/>
        <w:keepNext/>
      </w:pPr>
      <w:r>
        <w:rPr>
          <w:noProof/>
        </w:rPr>
        <w:lastRenderedPageBreak/>
        <mc:AlternateContent>
          <mc:Choice Requires="wps">
            <w:drawing>
              <wp:anchor distT="0" distB="0" distL="114300" distR="114300" simplePos="0" relativeHeight="251658240" behindDoc="0" locked="0" layoutInCell="1" allowOverlap="1" wp14:anchorId="042B6977" wp14:editId="4EC9CE87">
                <wp:simplePos x="0" y="0"/>
                <wp:positionH relativeFrom="column">
                  <wp:posOffset>1752600</wp:posOffset>
                </wp:positionH>
                <wp:positionV relativeFrom="paragraph">
                  <wp:posOffset>2381250</wp:posOffset>
                </wp:positionV>
                <wp:extent cx="666750" cy="228600"/>
                <wp:effectExtent l="0" t="0" r="0" b="0"/>
                <wp:wrapNone/>
                <wp:docPr id="1208824876" name="Text Box 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4FD93" w14:textId="1C386DAE" w:rsidR="008844F9" w:rsidRPr="008844F9" w:rsidRDefault="008844F9">
                            <w:pPr>
                              <w:rPr>
                                <w:lang w:val="en-US"/>
                              </w:rPr>
                            </w:pPr>
                            <w:r>
                              <w:rPr>
                                <w:lang w:val="en-US"/>
                              </w:rPr>
                              <w:t>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B6977" id="_x0000_s1027" type="#_x0000_t202" style="position:absolute;margin-left:138pt;margin-top:187.5pt;width:52.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" filled="f" stroked="f">
                <v:textbox>
                  <w:txbxContent>
                    <w:p w14:paraId="3064FD93" w14:textId="1C386DAE" w:rsidR="008844F9" w:rsidRPr="008844F9" w:rsidRDefault="008844F9">
                      <w:pPr>
                        <w:rPr>
                          <w:lang w:val="en-US"/>
                        </w:rPr>
                      </w:pPr>
                      <w:r>
                        <w:rPr>
                          <w:lang w:val="en-US"/>
                        </w:rPr>
                        <w:t>1637</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C3FCA6B" wp14:editId="3E7BC285">
                <wp:simplePos x="0" y="0"/>
                <wp:positionH relativeFrom="column">
                  <wp:posOffset>1628140</wp:posOffset>
                </wp:positionH>
                <wp:positionV relativeFrom="paragraph">
                  <wp:posOffset>2533650</wp:posOffset>
                </wp:positionV>
                <wp:extent cx="180975" cy="0"/>
                <wp:effectExtent l="0" t="0" r="0" b="0"/>
                <wp:wrapNone/>
                <wp:docPr id="1885314788" name="Straight Connector 2"/>
                <wp:cNvGraphicFramePr/>
                <a:graphic xmlns:a="http://schemas.openxmlformats.org/drawingml/2006/main">
                  <a:graphicData uri="http://schemas.microsoft.com/office/word/2010/wordprocessingShape">
                    <wps:wsp>
                      <wps:cNvCnPr/>
                      <wps:spPr>
                        <a:xfrm flipH="1">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7831A" id="Straight Connector 2"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pt,199.5pt" to="142.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" strokecolor="black [3200]" strokeweight=".5pt">
                <v:stroke joinstyle="miter"/>
              </v:line>
            </w:pict>
          </mc:Fallback>
        </mc:AlternateContent>
      </w:r>
      <w:r w:rsidR="00FC1D25" w:rsidRPr="00FC1D25">
        <w:rPr>
          <w:noProof/>
        </w:rPr>
        <w:drawing>
          <wp:inline distT="0" distB="0" distL="0" distR="0" wp14:anchorId="517DEF56" wp14:editId="21240138">
            <wp:extent cx="5361405" cy="7943850"/>
            <wp:effectExtent l="0" t="0" r="0" b="0"/>
            <wp:docPr id="888054591"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4591" name="Picture 1" descr="A graph of a number of data&#10;&#10;Description automatically generated with medium confidence"/>
                    <pic:cNvPicPr/>
                  </pic:nvPicPr>
                  <pic:blipFill>
                    <a:blip r:embed="rId33"/>
                    <a:stretch>
                      <a:fillRect/>
                    </a:stretch>
                  </pic:blipFill>
                  <pic:spPr>
                    <a:xfrm rot="10800000">
                      <a:off x="0" y="0"/>
                      <a:ext cx="5381848" cy="7974140"/>
                    </a:xfrm>
                    <a:prstGeom prst="rect">
                      <a:avLst/>
                    </a:prstGeom>
                  </pic:spPr>
                </pic:pic>
              </a:graphicData>
            </a:graphic>
          </wp:inline>
        </w:drawing>
      </w:r>
    </w:p>
    <w:p w14:paraId="59CC21F1" w14:textId="73D2DEBB" w:rsidR="00FC1D25" w:rsidRDefault="00FC1D25" w:rsidP="00894AAE">
      <w:pPr>
        <w:pStyle w:val="Caption"/>
      </w:pPr>
      <w:r>
        <w:t xml:space="preserve">Figure </w:t>
      </w:r>
      <w:r w:rsidR="00B848D9">
        <w:t>12</w:t>
      </w:r>
      <w:r>
        <w:t>. UDMA+CQ+DMA-EMA IR spectrum before blue-light cure</w:t>
      </w:r>
      <w:r w:rsidR="006F7A4E">
        <w:t>.</w:t>
      </w:r>
    </w:p>
    <w:p w14:paraId="656B4CEC" w14:textId="77777777" w:rsidR="00894AAE" w:rsidRDefault="00894AAE" w:rsidP="00894AAE">
      <w:pPr>
        <w:keepNext/>
      </w:pPr>
      <w:r w:rsidRPr="00894AAE">
        <w:rPr>
          <w:noProof/>
        </w:rPr>
        <w:lastRenderedPageBreak/>
        <w:drawing>
          <wp:inline distT="0" distB="0" distL="0" distR="0" wp14:anchorId="11199873" wp14:editId="7DDE3515">
            <wp:extent cx="7678420" cy="4829821"/>
            <wp:effectExtent l="0" t="4445" r="0" b="0"/>
            <wp:docPr id="1513781358" name="Picture 1" descr="A graph of a green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81358" name="Picture 1" descr="A graph of a green line&#10;&#10;Description automatically generated with medium confidence"/>
                    <pic:cNvPicPr/>
                  </pic:nvPicPr>
                  <pic:blipFill>
                    <a:blip r:embed="rId34"/>
                    <a:stretch>
                      <a:fillRect/>
                    </a:stretch>
                  </pic:blipFill>
                  <pic:spPr>
                    <a:xfrm rot="16200000">
                      <a:off x="0" y="0"/>
                      <a:ext cx="7685660" cy="4834375"/>
                    </a:xfrm>
                    <a:prstGeom prst="rect">
                      <a:avLst/>
                    </a:prstGeom>
                  </pic:spPr>
                </pic:pic>
              </a:graphicData>
            </a:graphic>
          </wp:inline>
        </w:drawing>
      </w:r>
    </w:p>
    <w:p w14:paraId="169A7692" w14:textId="668E1ED7" w:rsidR="00FC1D25" w:rsidRPr="00FC1D25" w:rsidRDefault="00894AAE" w:rsidP="00894AAE">
      <w:pPr>
        <w:pStyle w:val="Caption"/>
        <w:sectPr w:rsidR="00FC1D25" w:rsidRPr="00FC1D25" w:rsidSect="006857E5">
          <w:footerReference w:type="default" r:id="rId35"/>
          <w:pgSz w:w="12240" w:h="15840"/>
          <w:pgMar w:top="1440" w:right="1440" w:bottom="1440" w:left="1440" w:header="708" w:footer="708" w:gutter="0"/>
          <w:cols w:space="708"/>
          <w:titlePg/>
          <w:docGrid w:linePitch="360"/>
        </w:sectPr>
      </w:pPr>
      <w:r>
        <w:t xml:space="preserve">Figure </w:t>
      </w:r>
      <w:r w:rsidR="00B848D9">
        <w:t>13</w:t>
      </w:r>
      <w:r>
        <w:t xml:space="preserve">. UDMA+CQ+DMA-EMA IR spectra after </w:t>
      </w:r>
      <w:r w:rsidR="005F7E36">
        <w:t>5-minute</w:t>
      </w:r>
      <w:r>
        <w:t xml:space="preserve"> blue-light cure</w:t>
      </w:r>
      <w:r w:rsidR="005F7E36">
        <w:t>.</w:t>
      </w:r>
    </w:p>
    <w:p w14:paraId="769855C4" w14:textId="557726AF" w:rsidR="008D0262" w:rsidRPr="008D0262" w:rsidRDefault="008D0262" w:rsidP="008D0262">
      <w:pPr>
        <w:pStyle w:val="Heading1"/>
      </w:pPr>
      <w:r>
        <w:lastRenderedPageBreak/>
        <w:t>Discussion</w:t>
      </w:r>
      <w:r w:rsidR="00DD7C95">
        <w:t xml:space="preserve"> (future work/improvements)</w:t>
      </w:r>
    </w:p>
    <w:p w14:paraId="2BC8682B" w14:textId="77777777" w:rsidR="00045620" w:rsidRDefault="00045620" w:rsidP="00C33EAA">
      <w:pPr>
        <w:rPr>
          <w:lang w:val="en-US"/>
        </w:rPr>
      </w:pPr>
    </w:p>
    <w:p w14:paraId="09E6595E" w14:textId="1C6ABAA7" w:rsidR="00E74D40" w:rsidRDefault="00045620" w:rsidP="00C33EAA">
      <w:pPr>
        <w:rPr>
          <w:lang w:val="en-US"/>
        </w:rPr>
      </w:pPr>
      <w:r>
        <w:rPr>
          <w:lang w:val="en-US"/>
        </w:rPr>
        <w:t xml:space="preserve">After </w:t>
      </w:r>
      <w:r w:rsidR="00BD7DAC">
        <w:rPr>
          <w:lang w:val="en-US"/>
        </w:rPr>
        <w:t>running multiple tests and documenting the data</w:t>
      </w:r>
      <w:r w:rsidR="00AF68CE">
        <w:rPr>
          <w:lang w:val="en-US"/>
        </w:rPr>
        <w:t>,</w:t>
      </w:r>
      <w:r w:rsidR="00B81837">
        <w:rPr>
          <w:lang w:val="en-US"/>
        </w:rPr>
        <w:t xml:space="preserve"> it can be said that the experiment showed promise and a successful procedure was developed.</w:t>
      </w:r>
      <w:r w:rsidR="00AF68CE">
        <w:rPr>
          <w:lang w:val="en-US"/>
        </w:rPr>
        <w:t xml:space="preserve"> </w:t>
      </w:r>
      <w:r w:rsidR="00B81837">
        <w:rPr>
          <w:lang w:val="en-US"/>
        </w:rPr>
        <w:t>However,</w:t>
      </w:r>
      <w:r w:rsidR="00AF68CE">
        <w:rPr>
          <w:lang w:val="en-US"/>
        </w:rPr>
        <w:t xml:space="preserve"> there is more to be found and documented. One of the papers used for this research had discussed mixing TEG-DMA and Bis-GMA</w:t>
      </w:r>
      <w:r w:rsidR="00D95DEE">
        <w:rPr>
          <w:lang w:val="en-US"/>
        </w:rPr>
        <w:t xml:space="preserve"> in a 1:1 ratio.</w:t>
      </w:r>
      <w:r w:rsidR="00D93B3C">
        <w:rPr>
          <w:vertAlign w:val="superscript"/>
          <w:lang w:val="en-US"/>
        </w:rPr>
        <w:t>5</w:t>
      </w:r>
      <w:r w:rsidR="00D93B3C">
        <w:rPr>
          <w:lang w:val="en-US"/>
        </w:rPr>
        <w:t xml:space="preserve"> </w:t>
      </w:r>
      <w:r w:rsidR="00732C31">
        <w:rPr>
          <w:lang w:val="en-US"/>
        </w:rPr>
        <w:t>It would be interesting to attempt</w:t>
      </w:r>
      <w:r w:rsidR="00D95DEE">
        <w:rPr>
          <w:lang w:val="en-US"/>
        </w:rPr>
        <w:t xml:space="preserve"> to mix the UDMA and TEG-DMA </w:t>
      </w:r>
      <w:r w:rsidR="00A6423B">
        <w:rPr>
          <w:lang w:val="en-US"/>
        </w:rPr>
        <w:t xml:space="preserve">and see how that affects things like </w:t>
      </w:r>
      <w:proofErr w:type="spellStart"/>
      <w:r w:rsidR="00A6423B">
        <w:rPr>
          <w:lang w:val="en-US"/>
        </w:rPr>
        <w:t>colour</w:t>
      </w:r>
      <w:proofErr w:type="spellEnd"/>
      <w:r w:rsidR="00A6423B">
        <w:rPr>
          <w:lang w:val="en-US"/>
        </w:rPr>
        <w:t>, cure time, etc.</w:t>
      </w:r>
      <w:r w:rsidR="009E30AA">
        <w:rPr>
          <w:lang w:val="en-US"/>
        </w:rPr>
        <w:t xml:space="preserve"> It is worthwhile to note that UDMA was thick enough to not need any filler and when cured remained hard like TEG-DMA with filler. However, UDMA did not dissolve the CQ as well as TEG-DMA did. Perhaps mixing the two would find a suitable middle ground.</w:t>
      </w:r>
    </w:p>
    <w:p w14:paraId="21D6D1CD" w14:textId="54239916" w:rsidR="00E74D40" w:rsidRDefault="00D31E66" w:rsidP="00C33EAA">
      <w:pPr>
        <w:rPr>
          <w:lang w:val="en-US"/>
        </w:rPr>
      </w:pPr>
      <w:r>
        <w:rPr>
          <w:lang w:val="en-US"/>
        </w:rPr>
        <w:t xml:space="preserve">One disappointment in </w:t>
      </w:r>
      <w:r w:rsidR="00732C31">
        <w:rPr>
          <w:lang w:val="en-US"/>
        </w:rPr>
        <w:t>the</w:t>
      </w:r>
      <w:r>
        <w:rPr>
          <w:lang w:val="en-US"/>
        </w:rPr>
        <w:t xml:space="preserve"> research was that tests using D</w:t>
      </w:r>
      <w:r>
        <w:rPr>
          <w:vertAlign w:val="subscript"/>
          <w:lang w:val="en-US"/>
        </w:rPr>
        <w:t>3</w:t>
      </w:r>
      <w:r>
        <w:rPr>
          <w:lang w:val="en-US"/>
        </w:rPr>
        <w:t>MA</w:t>
      </w:r>
      <w:r w:rsidR="00F242CD">
        <w:rPr>
          <w:lang w:val="en-US"/>
        </w:rPr>
        <w:t xml:space="preserve"> were not able to be done</w:t>
      </w:r>
      <w:r>
        <w:rPr>
          <w:lang w:val="en-US"/>
        </w:rPr>
        <w:t>. When received, the D</w:t>
      </w:r>
      <w:r>
        <w:rPr>
          <w:vertAlign w:val="subscript"/>
          <w:lang w:val="en-US"/>
        </w:rPr>
        <w:t>3</w:t>
      </w:r>
      <w:r>
        <w:rPr>
          <w:lang w:val="en-US"/>
        </w:rPr>
        <w:t>MA was solidified and could not be scooped</w:t>
      </w:r>
      <w:r w:rsidR="00F959C2">
        <w:rPr>
          <w:lang w:val="en-US"/>
        </w:rPr>
        <w:t>. Whether it was frozen in some sense or simply reacted somehow during transport is left unknown. Perhaps it could be ground up and mixed with TEG-DMA to dissolve it and then used.</w:t>
      </w:r>
    </w:p>
    <w:p w14:paraId="63F69FE4" w14:textId="1C8B8F80" w:rsidR="00C37639" w:rsidRDefault="00C54B95" w:rsidP="00C37639">
      <w:pPr>
        <w:rPr>
          <w:lang w:val="en-US"/>
        </w:rPr>
      </w:pPr>
      <w:r>
        <w:rPr>
          <w:lang w:val="en-US"/>
        </w:rPr>
        <w:t>Additionally</w:t>
      </w:r>
      <w:r w:rsidR="003A0FBC">
        <w:rPr>
          <w:lang w:val="en-US"/>
        </w:rPr>
        <w:t xml:space="preserve">, </w:t>
      </w:r>
      <w:r w:rsidR="00F242CD">
        <w:rPr>
          <w:lang w:val="en-US"/>
        </w:rPr>
        <w:t>optimizing</w:t>
      </w:r>
      <w:r w:rsidR="00A96B23">
        <w:rPr>
          <w:lang w:val="en-US"/>
        </w:rPr>
        <w:t xml:space="preserve"> and finaliz</w:t>
      </w:r>
      <w:r w:rsidR="00F242CD">
        <w:rPr>
          <w:lang w:val="en-US"/>
        </w:rPr>
        <w:t>ing</w:t>
      </w:r>
      <w:r w:rsidR="00A96B23">
        <w:rPr>
          <w:lang w:val="en-US"/>
        </w:rPr>
        <w:t xml:space="preserve"> the </w:t>
      </w:r>
      <w:r w:rsidR="00D37ECF">
        <w:rPr>
          <w:lang w:val="en-US"/>
        </w:rPr>
        <w:t>procedure</w:t>
      </w:r>
      <w:r w:rsidR="00A96B23">
        <w:rPr>
          <w:lang w:val="en-US"/>
        </w:rPr>
        <w:t xml:space="preserve"> for making the cured product </w:t>
      </w:r>
      <w:r w:rsidR="0005777C">
        <w:rPr>
          <w:lang w:val="en-US"/>
        </w:rPr>
        <w:t xml:space="preserve">should be done so that </w:t>
      </w:r>
      <w:r w:rsidR="00A96B23">
        <w:rPr>
          <w:lang w:val="en-US"/>
        </w:rPr>
        <w:t xml:space="preserve">more ways of testing characteristics besides simple IR and </w:t>
      </w:r>
      <w:proofErr w:type="spellStart"/>
      <w:r w:rsidR="00A96B23">
        <w:rPr>
          <w:lang w:val="en-US"/>
        </w:rPr>
        <w:t>colour</w:t>
      </w:r>
      <w:proofErr w:type="spellEnd"/>
      <w:r w:rsidR="0005777C">
        <w:rPr>
          <w:lang w:val="en-US"/>
        </w:rPr>
        <w:t xml:space="preserve"> could be done.</w:t>
      </w:r>
      <w:r w:rsidR="00A96B23">
        <w:rPr>
          <w:lang w:val="en-US"/>
        </w:rPr>
        <w:t xml:space="preserve"> If possible, involving the physics department would be nice as </w:t>
      </w:r>
      <w:r w:rsidR="00381F99">
        <w:rPr>
          <w:lang w:val="en-US"/>
        </w:rPr>
        <w:t>force testing would be one avenue</w:t>
      </w:r>
      <w:r w:rsidR="0005777C">
        <w:rPr>
          <w:lang w:val="en-US"/>
        </w:rPr>
        <w:t xml:space="preserve"> of interest</w:t>
      </w:r>
      <w:r w:rsidR="00381F99">
        <w:rPr>
          <w:lang w:val="en-US"/>
        </w:rPr>
        <w:t xml:space="preserve">. To do this </w:t>
      </w:r>
      <w:r w:rsidR="00355869">
        <w:rPr>
          <w:lang w:val="en-US"/>
        </w:rPr>
        <w:t xml:space="preserve">a </w:t>
      </w:r>
      <w:r w:rsidR="00381F99">
        <w:rPr>
          <w:lang w:val="en-US"/>
        </w:rPr>
        <w:t>standardize</w:t>
      </w:r>
      <w:r w:rsidR="00355869">
        <w:rPr>
          <w:lang w:val="en-US"/>
        </w:rPr>
        <w:t>d</w:t>
      </w:r>
      <w:r w:rsidR="00381F99">
        <w:rPr>
          <w:lang w:val="en-US"/>
        </w:rPr>
        <w:t xml:space="preserve"> amount, shape, and depth of the sample </w:t>
      </w:r>
      <w:r w:rsidR="00355869">
        <w:rPr>
          <w:lang w:val="en-US"/>
        </w:rPr>
        <w:t xml:space="preserve">would be needed </w:t>
      </w:r>
      <w:r w:rsidR="00381F99">
        <w:rPr>
          <w:lang w:val="en-US"/>
        </w:rPr>
        <w:t xml:space="preserve">so that it could be run on a force </w:t>
      </w:r>
      <w:r w:rsidR="003A7B89">
        <w:rPr>
          <w:lang w:val="en-US"/>
        </w:rPr>
        <w:t xml:space="preserve">gauge equipped with an </w:t>
      </w:r>
      <w:proofErr w:type="spellStart"/>
      <w:r w:rsidR="003A7B89">
        <w:rPr>
          <w:lang w:val="en-US"/>
        </w:rPr>
        <w:t>Ametek</w:t>
      </w:r>
      <w:proofErr w:type="spellEnd"/>
      <w:r w:rsidR="003A7B89">
        <w:rPr>
          <w:lang w:val="en-US"/>
        </w:rPr>
        <w:t xml:space="preserve"> Point adapter to identify which DMA (TEG-DMA or UDMA or a mixture) performs best</w:t>
      </w:r>
      <w:r w:rsidR="00144EBF">
        <w:rPr>
          <w:lang w:val="en-US"/>
        </w:rPr>
        <w:t>.</w:t>
      </w:r>
    </w:p>
    <w:p w14:paraId="4DFBE851" w14:textId="40F88393" w:rsidR="00D37ECF" w:rsidRPr="00C37639" w:rsidRDefault="00D37ECF" w:rsidP="00C37639">
      <w:pPr>
        <w:rPr>
          <w:lang w:val="en-US"/>
        </w:rPr>
      </w:pPr>
      <w:r>
        <w:rPr>
          <w:lang w:val="en-US"/>
        </w:rPr>
        <w:t>Another route of interest would be to see if an experiment could be developed that would start with the building blocks</w:t>
      </w:r>
      <w:r w:rsidR="00BC04CE">
        <w:rPr>
          <w:lang w:val="en-US"/>
        </w:rPr>
        <w:t>:</w:t>
      </w:r>
      <w:r>
        <w:rPr>
          <w:lang w:val="en-US"/>
        </w:rPr>
        <w:t xml:space="preserve"> </w:t>
      </w:r>
      <w:r w:rsidR="004F6F44">
        <w:rPr>
          <w:lang w:val="en-US"/>
        </w:rPr>
        <w:t>methacrylate, TEG, etc.</w:t>
      </w:r>
      <w:r w:rsidR="00435A2B">
        <w:rPr>
          <w:lang w:val="en-US"/>
        </w:rPr>
        <w:t xml:space="preserve"> and then students would synthesize TEG-DMA</w:t>
      </w:r>
      <w:r w:rsidR="004F6F44">
        <w:rPr>
          <w:lang w:val="en-US"/>
        </w:rPr>
        <w:t xml:space="preserve">, </w:t>
      </w:r>
      <w:r w:rsidR="00435A2B">
        <w:rPr>
          <w:lang w:val="en-US"/>
        </w:rPr>
        <w:t>UDMA</w:t>
      </w:r>
      <w:r w:rsidR="004F6F44">
        <w:rPr>
          <w:lang w:val="en-US"/>
        </w:rPr>
        <w:t xml:space="preserve"> or other DMAs</w:t>
      </w:r>
      <w:r w:rsidR="0047367B">
        <w:rPr>
          <w:lang w:val="en-US"/>
        </w:rPr>
        <w:t xml:space="preserve">. From here, they could use their synthesized products to follow along with the procedure made in this experiment. The laboratory for this synthesis could revolve around </w:t>
      </w:r>
      <w:r w:rsidR="001433C2">
        <w:rPr>
          <w:lang w:val="en-US"/>
        </w:rPr>
        <w:t xml:space="preserve">giving the students an unknown backbone and, through </w:t>
      </w:r>
      <w:r w:rsidR="004F6F44">
        <w:rPr>
          <w:lang w:val="en-US"/>
        </w:rPr>
        <w:t xml:space="preserve">IR and other properties, </w:t>
      </w:r>
      <w:r w:rsidR="00BC04CE">
        <w:rPr>
          <w:lang w:val="en-US"/>
        </w:rPr>
        <w:t>have the students i</w:t>
      </w:r>
      <w:r w:rsidR="004F6F44">
        <w:rPr>
          <w:lang w:val="en-US"/>
        </w:rPr>
        <w:t>dentify what they started with.</w:t>
      </w:r>
    </w:p>
    <w:p w14:paraId="34B8F643" w14:textId="77777777" w:rsidR="00144EBF" w:rsidRDefault="00144EBF" w:rsidP="00C33EAA">
      <w:pPr>
        <w:rPr>
          <w:lang w:val="en-US"/>
        </w:rPr>
      </w:pPr>
    </w:p>
    <w:p w14:paraId="29C4A887" w14:textId="77777777" w:rsidR="008045F1" w:rsidRDefault="008045F1" w:rsidP="00C33EAA">
      <w:pPr>
        <w:rPr>
          <w:lang w:val="en-US"/>
        </w:rPr>
      </w:pPr>
    </w:p>
    <w:p w14:paraId="2DCC9320" w14:textId="77777777" w:rsidR="008045F1" w:rsidRDefault="008045F1" w:rsidP="00C33EAA">
      <w:pPr>
        <w:rPr>
          <w:lang w:val="en-US"/>
        </w:rPr>
      </w:pPr>
    </w:p>
    <w:p w14:paraId="39FE04F9" w14:textId="77777777" w:rsidR="008045F1" w:rsidRDefault="008045F1" w:rsidP="00C33EAA">
      <w:pPr>
        <w:rPr>
          <w:lang w:val="en-US"/>
        </w:rPr>
      </w:pPr>
    </w:p>
    <w:p w14:paraId="7275F9F4" w14:textId="77777777" w:rsidR="008F3763" w:rsidRDefault="008F3763" w:rsidP="00C33EAA">
      <w:pPr>
        <w:rPr>
          <w:lang w:val="en-US"/>
        </w:rPr>
      </w:pPr>
    </w:p>
    <w:p w14:paraId="12AE47B4" w14:textId="77777777" w:rsidR="008F3763" w:rsidRDefault="008F3763" w:rsidP="00C33EAA">
      <w:pPr>
        <w:rPr>
          <w:lang w:val="en-US"/>
        </w:rPr>
      </w:pPr>
    </w:p>
    <w:p w14:paraId="2BD8E061" w14:textId="77777777" w:rsidR="008F3763" w:rsidRDefault="008F3763" w:rsidP="00C33EAA">
      <w:pPr>
        <w:rPr>
          <w:lang w:val="en-US"/>
        </w:rPr>
      </w:pPr>
    </w:p>
    <w:p w14:paraId="2EE10D80" w14:textId="77777777" w:rsidR="008F3763" w:rsidRDefault="008F3763" w:rsidP="00C33EAA">
      <w:pPr>
        <w:rPr>
          <w:lang w:val="en-US"/>
        </w:rPr>
      </w:pPr>
    </w:p>
    <w:p w14:paraId="7A436EAD" w14:textId="77777777" w:rsidR="008045F1" w:rsidRDefault="008045F1" w:rsidP="00C33EAA">
      <w:pPr>
        <w:rPr>
          <w:lang w:val="en-US"/>
        </w:rPr>
      </w:pPr>
    </w:p>
    <w:p w14:paraId="4FA24CBF" w14:textId="77777777" w:rsidR="00C33EAA" w:rsidRDefault="00C33EAA" w:rsidP="00C33EAA">
      <w:pPr>
        <w:rPr>
          <w:lang w:val="en-US"/>
        </w:rPr>
      </w:pPr>
    </w:p>
    <w:p w14:paraId="16B76575" w14:textId="77777777" w:rsidR="00BC04CE" w:rsidRDefault="00BC04CE" w:rsidP="00C33EAA">
      <w:pPr>
        <w:rPr>
          <w:lang w:val="en-US"/>
        </w:rPr>
      </w:pPr>
    </w:p>
    <w:p w14:paraId="2F2A3249" w14:textId="535D2B01" w:rsidR="00C33EAA" w:rsidRDefault="00C33EAA" w:rsidP="008F3763">
      <w:pPr>
        <w:pStyle w:val="Heading1"/>
        <w:rPr>
          <w:lang w:val="en-US"/>
        </w:rPr>
      </w:pPr>
      <w:r>
        <w:rPr>
          <w:lang w:val="en-US"/>
        </w:rPr>
        <w:lastRenderedPageBreak/>
        <w:t>REFERENCES:</w:t>
      </w:r>
    </w:p>
    <w:p w14:paraId="2C55B646" w14:textId="77777777" w:rsidR="008F3763" w:rsidRPr="008F3763" w:rsidRDefault="008F3763" w:rsidP="008F3763">
      <w:pPr>
        <w:rPr>
          <w:lang w:val="en-US"/>
        </w:rPr>
      </w:pPr>
    </w:p>
    <w:p w14:paraId="12E9D84D" w14:textId="585C56FE" w:rsidR="00C33EAA" w:rsidRDefault="00A85BE0" w:rsidP="00713FA8">
      <w:pPr>
        <w:pStyle w:val="ListParagraph"/>
        <w:numPr>
          <w:ilvl w:val="0"/>
          <w:numId w:val="3"/>
        </w:numPr>
        <w:rPr>
          <w:lang w:val="en-US"/>
        </w:rPr>
      </w:pPr>
      <w:r w:rsidRPr="0059774F">
        <w:rPr>
          <w:i/>
          <w:iCs/>
          <w:lang w:val="en-US"/>
        </w:rPr>
        <w:t>Public health England.</w:t>
      </w:r>
      <w:r w:rsidR="008B7C16">
        <w:rPr>
          <w:lang w:val="en-US"/>
        </w:rPr>
        <w:t xml:space="preserve"> </w:t>
      </w:r>
      <w:hyperlink r:id="rId36" w:anchor=":~:text=27%25%20had%20tooth%20decay,%25%20had%20gingival%20(gum)%20bleeding" w:history="1">
        <w:r w:rsidR="00FC2BBE" w:rsidRPr="003D7CAF">
          <w:rPr>
            <w:rStyle w:val="Hyperlink"/>
            <w:lang w:val="en-US"/>
          </w:rPr>
          <w:t>https://www.gov.uk/government/publications/oral-health-survey-of-adults-attending-dental-practices-2018#:~:text=27%25%20had%20tooth%20decay,%25%20had%20gingival%20(gum)%20bleeding</w:t>
        </w:r>
      </w:hyperlink>
      <w:r w:rsidR="00596558">
        <w:rPr>
          <w:lang w:val="en-US"/>
        </w:rPr>
        <w:t xml:space="preserve"> (accessed 2024-01-17)</w:t>
      </w:r>
    </w:p>
    <w:p w14:paraId="00718593" w14:textId="67DC92C7" w:rsidR="00FC2BBE" w:rsidRDefault="00995BF3" w:rsidP="00713FA8">
      <w:pPr>
        <w:pStyle w:val="ListParagraph"/>
        <w:numPr>
          <w:ilvl w:val="0"/>
          <w:numId w:val="3"/>
        </w:numPr>
        <w:rPr>
          <w:i/>
          <w:iCs/>
          <w:lang w:val="en-US"/>
        </w:rPr>
      </w:pPr>
      <w:r w:rsidRPr="0059774F">
        <w:rPr>
          <w:i/>
          <w:iCs/>
          <w:lang w:val="en-US"/>
        </w:rPr>
        <w:t>National Institute of Dental and Craniofacial Research</w:t>
      </w:r>
      <w:r w:rsidR="0059774F">
        <w:rPr>
          <w:i/>
          <w:iCs/>
          <w:lang w:val="en-US"/>
        </w:rPr>
        <w:t xml:space="preserve">. </w:t>
      </w:r>
      <w:hyperlink r:id="rId37" w:history="1">
        <w:r w:rsidR="0059774F" w:rsidRPr="003D7CAF">
          <w:rPr>
            <w:rStyle w:val="Hyperlink"/>
            <w:i/>
            <w:iCs/>
            <w:lang w:val="en-US"/>
          </w:rPr>
          <w:t>https://www.nidcr.nih.gov/research/data-statistics/dental-caries/adults</w:t>
        </w:r>
      </w:hyperlink>
      <w:r w:rsidR="0059774F">
        <w:rPr>
          <w:i/>
          <w:iCs/>
          <w:lang w:val="en-US"/>
        </w:rPr>
        <w:t xml:space="preserve"> (accessed 2024-01-15)</w:t>
      </w:r>
    </w:p>
    <w:p w14:paraId="6BDF9379" w14:textId="7AACC547" w:rsidR="0082582F" w:rsidRPr="0082582F" w:rsidRDefault="00F029B1" w:rsidP="0082582F">
      <w:pPr>
        <w:pStyle w:val="ListParagraph"/>
        <w:numPr>
          <w:ilvl w:val="0"/>
          <w:numId w:val="3"/>
        </w:numPr>
        <w:rPr>
          <w:i/>
          <w:iCs/>
          <w:lang w:val="en-US"/>
        </w:rPr>
      </w:pPr>
      <w:r>
        <w:rPr>
          <w:lang w:val="en-US"/>
        </w:rPr>
        <w:t xml:space="preserve">Dental Polymer Lab Pre-Lab. </w:t>
      </w:r>
      <w:r w:rsidR="003C5A27" w:rsidRPr="00F029B1">
        <w:rPr>
          <w:i/>
          <w:iCs/>
          <w:lang w:val="en-US"/>
        </w:rPr>
        <w:t>Wentzel Lab.</w:t>
      </w:r>
      <w:r w:rsidR="003C5A27">
        <w:rPr>
          <w:lang w:val="en-US"/>
        </w:rPr>
        <w:t xml:space="preserve"> </w:t>
      </w:r>
      <w:proofErr w:type="spellStart"/>
      <w:r>
        <w:rPr>
          <w:lang w:val="en-US"/>
        </w:rPr>
        <w:t>Youtube</w:t>
      </w:r>
      <w:proofErr w:type="spellEnd"/>
      <w:r>
        <w:rPr>
          <w:lang w:val="en-US"/>
        </w:rPr>
        <w:t xml:space="preserve">, </w:t>
      </w:r>
      <w:r w:rsidR="008C0D0F">
        <w:rPr>
          <w:lang w:val="en-US"/>
        </w:rPr>
        <w:t xml:space="preserve">February 24, 2019. </w:t>
      </w:r>
      <w:hyperlink r:id="rId38" w:history="1">
        <w:r w:rsidR="0082582F" w:rsidRPr="003D7CAF">
          <w:rPr>
            <w:rStyle w:val="Hyperlink"/>
            <w:lang w:val="en-US"/>
          </w:rPr>
          <w:t>https://www.youtube.com/watch?v=C_tgPi-DRz4&amp;ab_channel=WentzelLab</w:t>
        </w:r>
      </w:hyperlink>
      <w:r w:rsidR="0082582F">
        <w:rPr>
          <w:lang w:val="en-US"/>
        </w:rPr>
        <w:t xml:space="preserve"> </w:t>
      </w:r>
    </w:p>
    <w:p w14:paraId="5CE4C5BD" w14:textId="720B128B" w:rsidR="00F97830" w:rsidRPr="00F97830" w:rsidRDefault="0011641F" w:rsidP="00F97830">
      <w:pPr>
        <w:pStyle w:val="ListParagraph"/>
        <w:numPr>
          <w:ilvl w:val="0"/>
          <w:numId w:val="3"/>
        </w:numPr>
        <w:spacing w:after="0" w:line="240" w:lineRule="auto"/>
        <w:rPr>
          <w:rFonts w:ascii="Calibri" w:eastAsia="Times New Roman" w:hAnsi="Calibri" w:cs="Calibri"/>
          <w:color w:val="000000"/>
          <w:kern w:val="0"/>
          <w:lang w:eastAsia="en-CA"/>
          <w14:ligatures w14:val="none"/>
        </w:rPr>
      </w:pPr>
      <w:r w:rsidRPr="0011641F">
        <w:rPr>
          <w:rFonts w:ascii="Calibri" w:eastAsia="Times New Roman" w:hAnsi="Calibri" w:cs="Calibri"/>
          <w:color w:val="000000"/>
          <w:kern w:val="0"/>
          <w:lang w:eastAsia="en-CA"/>
          <w14:ligatures w14:val="none"/>
        </w:rPr>
        <w:t xml:space="preserve">Chu, T.-M.; Platt, J. Original Research Dental Materials Hani Nassar (A). </w:t>
      </w:r>
      <w:hyperlink r:id="rId39" w:history="1">
        <w:r w:rsidRPr="006C2BDE">
          <w:rPr>
            <w:rStyle w:val="Hyperlink"/>
            <w:rFonts w:ascii="Calibri" w:eastAsia="Times New Roman" w:hAnsi="Calibri" w:cs="Calibri"/>
            <w:kern w:val="0"/>
            <w:lang w:eastAsia="en-CA"/>
            <w14:ligatures w14:val="none"/>
          </w:rPr>
          <w:t>https://doi.org/10.1590/1807-3107BOR-2016.vol30.0066</w:t>
        </w:r>
      </w:hyperlink>
      <w:r w:rsidRPr="0011641F">
        <w:rPr>
          <w:rFonts w:ascii="Calibri" w:eastAsia="Times New Roman" w:hAnsi="Calibri" w:cs="Calibri"/>
          <w:color w:val="000000"/>
          <w:kern w:val="0"/>
          <w:lang w:eastAsia="en-CA"/>
          <w14:ligatures w14:val="none"/>
        </w:rPr>
        <w:t>.</w:t>
      </w:r>
    </w:p>
    <w:p w14:paraId="4F82DD91" w14:textId="7C449618" w:rsidR="00F97830" w:rsidRDefault="00F97830" w:rsidP="00F97830">
      <w:pPr>
        <w:pStyle w:val="ListParagraph"/>
        <w:numPr>
          <w:ilvl w:val="0"/>
          <w:numId w:val="3"/>
        </w:numPr>
        <w:spacing w:after="0" w:line="240" w:lineRule="auto"/>
        <w:rPr>
          <w:rFonts w:ascii="Calibri" w:eastAsia="Times New Roman" w:hAnsi="Calibri" w:cs="Calibri"/>
          <w:color w:val="000000"/>
          <w:kern w:val="0"/>
          <w:lang w:eastAsia="en-CA"/>
          <w14:ligatures w14:val="none"/>
        </w:rPr>
      </w:pPr>
      <w:r w:rsidRPr="00F97830">
        <w:rPr>
          <w:rFonts w:ascii="Calibri" w:eastAsia="Times New Roman" w:hAnsi="Calibri" w:cs="Calibri"/>
          <w:color w:val="000000"/>
          <w:kern w:val="0"/>
          <w:lang w:eastAsia="en-CA"/>
          <w14:ligatures w14:val="none"/>
        </w:rPr>
        <w:t xml:space="preserve">Maciel, D. da S. A.; Caires-Filho, A. B.; Fernandez-Garcia, M.; </w:t>
      </w:r>
      <w:proofErr w:type="spellStart"/>
      <w:r w:rsidRPr="00F97830">
        <w:rPr>
          <w:rFonts w:ascii="Calibri" w:eastAsia="Times New Roman" w:hAnsi="Calibri" w:cs="Calibri"/>
          <w:color w:val="000000"/>
          <w:kern w:val="0"/>
          <w:lang w:eastAsia="en-CA"/>
          <w14:ligatures w14:val="none"/>
        </w:rPr>
        <w:t>Anauate</w:t>
      </w:r>
      <w:proofErr w:type="spellEnd"/>
      <w:r w:rsidRPr="00F97830">
        <w:rPr>
          <w:rFonts w:ascii="Calibri" w:eastAsia="Times New Roman" w:hAnsi="Calibri" w:cs="Calibri"/>
          <w:color w:val="000000"/>
          <w:kern w:val="0"/>
          <w:lang w:eastAsia="en-CA"/>
          <w14:ligatures w14:val="none"/>
        </w:rPr>
        <w:t xml:space="preserve">-Netto, C.; Alonso, R. C. B. Effect of </w:t>
      </w:r>
      <w:proofErr w:type="spellStart"/>
      <w:r w:rsidRPr="00F97830">
        <w:rPr>
          <w:rFonts w:ascii="Calibri" w:eastAsia="Times New Roman" w:hAnsi="Calibri" w:cs="Calibri"/>
          <w:color w:val="000000"/>
          <w:kern w:val="0"/>
          <w:lang w:eastAsia="en-CA"/>
          <w14:ligatures w14:val="none"/>
        </w:rPr>
        <w:t>Camphorquinone</w:t>
      </w:r>
      <w:proofErr w:type="spellEnd"/>
      <w:r w:rsidRPr="00F97830">
        <w:rPr>
          <w:rFonts w:ascii="Calibri" w:eastAsia="Times New Roman" w:hAnsi="Calibri" w:cs="Calibri"/>
          <w:color w:val="000000"/>
          <w:kern w:val="0"/>
          <w:lang w:eastAsia="en-CA"/>
          <w14:ligatures w14:val="none"/>
        </w:rPr>
        <w:t xml:space="preserve"> Concentration in Physical-Mechanical Properties of Experimental Flowable Resin Composites. </w:t>
      </w:r>
      <w:r w:rsidRPr="00F97830">
        <w:rPr>
          <w:rFonts w:ascii="Calibri" w:eastAsia="Times New Roman" w:hAnsi="Calibri" w:cs="Calibri"/>
          <w:i/>
          <w:iCs/>
          <w:color w:val="000000"/>
          <w:kern w:val="0"/>
          <w:lang w:eastAsia="en-CA"/>
          <w14:ligatures w14:val="none"/>
        </w:rPr>
        <w:t>BioMed Research International</w:t>
      </w:r>
      <w:r w:rsidRPr="00F97830">
        <w:rPr>
          <w:rFonts w:ascii="Calibri" w:eastAsia="Times New Roman" w:hAnsi="Calibri" w:cs="Calibri"/>
          <w:color w:val="000000"/>
          <w:kern w:val="0"/>
          <w:lang w:eastAsia="en-CA"/>
          <w14:ligatures w14:val="none"/>
        </w:rPr>
        <w:t>, </w:t>
      </w:r>
      <w:r w:rsidRPr="00F97830">
        <w:rPr>
          <w:rFonts w:ascii="Calibri" w:eastAsia="Times New Roman" w:hAnsi="Calibri" w:cs="Calibri"/>
          <w:i/>
          <w:iCs/>
          <w:color w:val="000000"/>
          <w:kern w:val="0"/>
          <w:lang w:eastAsia="en-CA"/>
          <w14:ligatures w14:val="none"/>
        </w:rPr>
        <w:t>2018</w:t>
      </w:r>
      <w:r w:rsidRPr="00F97830">
        <w:rPr>
          <w:rFonts w:ascii="Calibri" w:eastAsia="Times New Roman" w:hAnsi="Calibri" w:cs="Calibri"/>
          <w:color w:val="000000"/>
          <w:kern w:val="0"/>
          <w:lang w:eastAsia="en-CA"/>
          <w14:ligatures w14:val="none"/>
        </w:rPr>
        <w:t xml:space="preserve">, e7921247. </w:t>
      </w:r>
      <w:hyperlink r:id="rId40" w:history="1">
        <w:r w:rsidRPr="006C2BDE">
          <w:rPr>
            <w:rStyle w:val="Hyperlink"/>
            <w:rFonts w:ascii="Calibri" w:eastAsia="Times New Roman" w:hAnsi="Calibri" w:cs="Calibri"/>
            <w:kern w:val="0"/>
            <w:lang w:eastAsia="en-CA"/>
            <w14:ligatures w14:val="none"/>
          </w:rPr>
          <w:t>https://doi.org/10.1155/2018/7921247</w:t>
        </w:r>
      </w:hyperlink>
      <w:r w:rsidRPr="00F97830">
        <w:rPr>
          <w:rFonts w:ascii="Calibri" w:eastAsia="Times New Roman" w:hAnsi="Calibri" w:cs="Calibri"/>
          <w:color w:val="000000"/>
          <w:kern w:val="0"/>
          <w:lang w:eastAsia="en-CA"/>
          <w14:ligatures w14:val="none"/>
        </w:rPr>
        <w:t>.</w:t>
      </w:r>
    </w:p>
    <w:p w14:paraId="0E1BC3FF" w14:textId="77777777" w:rsidR="00F97830" w:rsidRPr="00355869" w:rsidRDefault="00F97830" w:rsidP="00355869">
      <w:pPr>
        <w:spacing w:after="0" w:line="240" w:lineRule="auto"/>
        <w:rPr>
          <w:rFonts w:ascii="Calibri" w:eastAsia="Times New Roman" w:hAnsi="Calibri" w:cs="Calibri"/>
          <w:color w:val="000000"/>
          <w:kern w:val="0"/>
          <w:lang w:eastAsia="en-CA"/>
          <w14:ligatures w14:val="none"/>
        </w:rPr>
      </w:pPr>
    </w:p>
    <w:p w14:paraId="4C24AE36" w14:textId="4415FE29" w:rsidR="0082582F" w:rsidRPr="0011641F" w:rsidRDefault="0082582F" w:rsidP="00F97830">
      <w:pPr>
        <w:pStyle w:val="ListParagraph"/>
        <w:spacing w:before="100" w:beforeAutospacing="1" w:after="100" w:afterAutospacing="1" w:line="240" w:lineRule="auto"/>
        <w:rPr>
          <w:i/>
          <w:iCs/>
          <w:lang w:val="en-US"/>
        </w:rPr>
      </w:pPr>
    </w:p>
    <w:sectPr w:rsidR="0082582F" w:rsidRPr="0011641F" w:rsidSect="004F75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513A3" w14:textId="77777777" w:rsidR="00090A23" w:rsidRDefault="00090A23" w:rsidP="006857E5">
      <w:pPr>
        <w:spacing w:after="0" w:line="240" w:lineRule="auto"/>
      </w:pPr>
      <w:r>
        <w:separator/>
      </w:r>
    </w:p>
  </w:endnote>
  <w:endnote w:type="continuationSeparator" w:id="0">
    <w:p w14:paraId="710BD390" w14:textId="77777777" w:rsidR="00090A23" w:rsidRDefault="00090A23" w:rsidP="0068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675522"/>
      <w:docPartObj>
        <w:docPartGallery w:val="Page Numbers (Bottom of Page)"/>
        <w:docPartUnique/>
      </w:docPartObj>
    </w:sdtPr>
    <w:sdtEndPr>
      <w:rPr>
        <w:noProof/>
      </w:rPr>
    </w:sdtEndPr>
    <w:sdtContent>
      <w:p w14:paraId="1100BD8D" w14:textId="18ACFDC2" w:rsidR="006857E5" w:rsidRDefault="006857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591360" w14:textId="77777777" w:rsidR="006857E5" w:rsidRDefault="00685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6FDF3" w14:textId="77777777" w:rsidR="00090A23" w:rsidRDefault="00090A23" w:rsidP="006857E5">
      <w:pPr>
        <w:spacing w:after="0" w:line="240" w:lineRule="auto"/>
      </w:pPr>
      <w:r>
        <w:separator/>
      </w:r>
    </w:p>
  </w:footnote>
  <w:footnote w:type="continuationSeparator" w:id="0">
    <w:p w14:paraId="21AA79DE" w14:textId="77777777" w:rsidR="00090A23" w:rsidRDefault="00090A23" w:rsidP="00685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5CDD"/>
    <w:multiLevelType w:val="hybridMultilevel"/>
    <w:tmpl w:val="E68880C8"/>
    <w:lvl w:ilvl="0" w:tplc="581CB6D6">
      <w:start w:val="1"/>
      <w:numFmt w:val="bullet"/>
      <w:lvlText w:val="-"/>
      <w:lvlJc w:val="left"/>
      <w:pPr>
        <w:ind w:left="720" w:hanging="360"/>
      </w:pPr>
      <w:rPr>
        <w:rFonts w:ascii="Calibri" w:eastAsiaTheme="majorEastAsia" w:hAnsi="Calibri" w:cs="Calibri" w:hint="default"/>
        <w:color w:val="0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F576574"/>
    <w:multiLevelType w:val="hybridMultilevel"/>
    <w:tmpl w:val="79A65EE0"/>
    <w:lvl w:ilvl="0" w:tplc="791803CE">
      <w:start w:val="2"/>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4962872"/>
    <w:multiLevelType w:val="hybridMultilevel"/>
    <w:tmpl w:val="CF78D4B8"/>
    <w:lvl w:ilvl="0" w:tplc="3C10A68A">
      <w:start w:val="1"/>
      <w:numFmt w:val="decimal"/>
      <w:lvlText w:val="%1)"/>
      <w:lvlJc w:val="left"/>
      <w:pPr>
        <w:tabs>
          <w:tab w:val="num" w:pos="720"/>
        </w:tabs>
        <w:ind w:left="720" w:hanging="360"/>
      </w:pPr>
    </w:lvl>
    <w:lvl w:ilvl="1" w:tplc="6B96EF0A">
      <w:numFmt w:val="bullet"/>
      <w:lvlText w:val="o"/>
      <w:lvlJc w:val="left"/>
      <w:pPr>
        <w:tabs>
          <w:tab w:val="num" w:pos="1440"/>
        </w:tabs>
        <w:ind w:left="1440" w:hanging="360"/>
      </w:pPr>
      <w:rPr>
        <w:rFonts w:ascii="Courier New" w:hAnsi="Courier New" w:hint="default"/>
      </w:rPr>
    </w:lvl>
    <w:lvl w:ilvl="2" w:tplc="D9FAF8DC" w:tentative="1">
      <w:start w:val="1"/>
      <w:numFmt w:val="decimal"/>
      <w:lvlText w:val="%3)"/>
      <w:lvlJc w:val="left"/>
      <w:pPr>
        <w:tabs>
          <w:tab w:val="num" w:pos="2160"/>
        </w:tabs>
        <w:ind w:left="2160" w:hanging="360"/>
      </w:pPr>
    </w:lvl>
    <w:lvl w:ilvl="3" w:tplc="A1140002" w:tentative="1">
      <w:start w:val="1"/>
      <w:numFmt w:val="decimal"/>
      <w:lvlText w:val="%4)"/>
      <w:lvlJc w:val="left"/>
      <w:pPr>
        <w:tabs>
          <w:tab w:val="num" w:pos="2880"/>
        </w:tabs>
        <w:ind w:left="2880" w:hanging="360"/>
      </w:pPr>
    </w:lvl>
    <w:lvl w:ilvl="4" w:tplc="C7300980" w:tentative="1">
      <w:start w:val="1"/>
      <w:numFmt w:val="decimal"/>
      <w:lvlText w:val="%5)"/>
      <w:lvlJc w:val="left"/>
      <w:pPr>
        <w:tabs>
          <w:tab w:val="num" w:pos="3600"/>
        </w:tabs>
        <w:ind w:left="3600" w:hanging="360"/>
      </w:pPr>
    </w:lvl>
    <w:lvl w:ilvl="5" w:tplc="E8B4BFE0" w:tentative="1">
      <w:start w:val="1"/>
      <w:numFmt w:val="decimal"/>
      <w:lvlText w:val="%6)"/>
      <w:lvlJc w:val="left"/>
      <w:pPr>
        <w:tabs>
          <w:tab w:val="num" w:pos="4320"/>
        </w:tabs>
        <w:ind w:left="4320" w:hanging="360"/>
      </w:pPr>
    </w:lvl>
    <w:lvl w:ilvl="6" w:tplc="939AEC9A" w:tentative="1">
      <w:start w:val="1"/>
      <w:numFmt w:val="decimal"/>
      <w:lvlText w:val="%7)"/>
      <w:lvlJc w:val="left"/>
      <w:pPr>
        <w:tabs>
          <w:tab w:val="num" w:pos="5040"/>
        </w:tabs>
        <w:ind w:left="5040" w:hanging="360"/>
      </w:pPr>
    </w:lvl>
    <w:lvl w:ilvl="7" w:tplc="6840D024" w:tentative="1">
      <w:start w:val="1"/>
      <w:numFmt w:val="decimal"/>
      <w:lvlText w:val="%8)"/>
      <w:lvlJc w:val="left"/>
      <w:pPr>
        <w:tabs>
          <w:tab w:val="num" w:pos="5760"/>
        </w:tabs>
        <w:ind w:left="5760" w:hanging="360"/>
      </w:pPr>
    </w:lvl>
    <w:lvl w:ilvl="8" w:tplc="8D547BC4" w:tentative="1">
      <w:start w:val="1"/>
      <w:numFmt w:val="decimal"/>
      <w:lvlText w:val="%9)"/>
      <w:lvlJc w:val="left"/>
      <w:pPr>
        <w:tabs>
          <w:tab w:val="num" w:pos="6480"/>
        </w:tabs>
        <w:ind w:left="6480" w:hanging="360"/>
      </w:pPr>
    </w:lvl>
  </w:abstractNum>
  <w:abstractNum w:abstractNumId="3" w15:restartNumberingAfterBreak="0">
    <w:nsid w:val="34D93495"/>
    <w:multiLevelType w:val="hybridMultilevel"/>
    <w:tmpl w:val="006EC8F8"/>
    <w:lvl w:ilvl="0" w:tplc="75B06FD0">
      <w:start w:val="56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AE1793"/>
    <w:multiLevelType w:val="hybridMultilevel"/>
    <w:tmpl w:val="7AE63D64"/>
    <w:lvl w:ilvl="0" w:tplc="9356B35E">
      <w:start w:val="1"/>
      <w:numFmt w:val="decimal"/>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AF02378"/>
    <w:multiLevelType w:val="hybridMultilevel"/>
    <w:tmpl w:val="DC5076AC"/>
    <w:lvl w:ilvl="0" w:tplc="18BEBAD8">
      <w:start w:val="1"/>
      <w:numFmt w:val="decimal"/>
      <w:lvlText w:val="%1)"/>
      <w:lvlJc w:val="left"/>
      <w:pPr>
        <w:tabs>
          <w:tab w:val="num" w:pos="720"/>
        </w:tabs>
        <w:ind w:left="720" w:hanging="360"/>
      </w:pPr>
    </w:lvl>
    <w:lvl w:ilvl="1" w:tplc="7046B528">
      <w:numFmt w:val="bullet"/>
      <w:lvlText w:val="-"/>
      <w:lvlJc w:val="left"/>
      <w:pPr>
        <w:tabs>
          <w:tab w:val="num" w:pos="1440"/>
        </w:tabs>
        <w:ind w:left="1440" w:hanging="360"/>
      </w:pPr>
      <w:rPr>
        <w:rFonts w:ascii="Times New Roman" w:hAnsi="Times New Roman" w:hint="default"/>
      </w:rPr>
    </w:lvl>
    <w:lvl w:ilvl="2" w:tplc="2E28257E" w:tentative="1">
      <w:start w:val="1"/>
      <w:numFmt w:val="decimal"/>
      <w:lvlText w:val="%3)"/>
      <w:lvlJc w:val="left"/>
      <w:pPr>
        <w:tabs>
          <w:tab w:val="num" w:pos="2160"/>
        </w:tabs>
        <w:ind w:left="2160" w:hanging="360"/>
      </w:pPr>
    </w:lvl>
    <w:lvl w:ilvl="3" w:tplc="AC5CF1BA" w:tentative="1">
      <w:start w:val="1"/>
      <w:numFmt w:val="decimal"/>
      <w:lvlText w:val="%4)"/>
      <w:lvlJc w:val="left"/>
      <w:pPr>
        <w:tabs>
          <w:tab w:val="num" w:pos="2880"/>
        </w:tabs>
        <w:ind w:left="2880" w:hanging="360"/>
      </w:pPr>
    </w:lvl>
    <w:lvl w:ilvl="4" w:tplc="EE143044" w:tentative="1">
      <w:start w:val="1"/>
      <w:numFmt w:val="decimal"/>
      <w:lvlText w:val="%5)"/>
      <w:lvlJc w:val="left"/>
      <w:pPr>
        <w:tabs>
          <w:tab w:val="num" w:pos="3600"/>
        </w:tabs>
        <w:ind w:left="3600" w:hanging="360"/>
      </w:pPr>
    </w:lvl>
    <w:lvl w:ilvl="5" w:tplc="0248DEFC" w:tentative="1">
      <w:start w:val="1"/>
      <w:numFmt w:val="decimal"/>
      <w:lvlText w:val="%6)"/>
      <w:lvlJc w:val="left"/>
      <w:pPr>
        <w:tabs>
          <w:tab w:val="num" w:pos="4320"/>
        </w:tabs>
        <w:ind w:left="4320" w:hanging="360"/>
      </w:pPr>
    </w:lvl>
    <w:lvl w:ilvl="6" w:tplc="E2986A02" w:tentative="1">
      <w:start w:val="1"/>
      <w:numFmt w:val="decimal"/>
      <w:lvlText w:val="%7)"/>
      <w:lvlJc w:val="left"/>
      <w:pPr>
        <w:tabs>
          <w:tab w:val="num" w:pos="5040"/>
        </w:tabs>
        <w:ind w:left="5040" w:hanging="360"/>
      </w:pPr>
    </w:lvl>
    <w:lvl w:ilvl="7" w:tplc="3DECEE42" w:tentative="1">
      <w:start w:val="1"/>
      <w:numFmt w:val="decimal"/>
      <w:lvlText w:val="%8)"/>
      <w:lvlJc w:val="left"/>
      <w:pPr>
        <w:tabs>
          <w:tab w:val="num" w:pos="5760"/>
        </w:tabs>
        <w:ind w:left="5760" w:hanging="360"/>
      </w:pPr>
    </w:lvl>
    <w:lvl w:ilvl="8" w:tplc="10C0EE22" w:tentative="1">
      <w:start w:val="1"/>
      <w:numFmt w:val="decimal"/>
      <w:lvlText w:val="%9)"/>
      <w:lvlJc w:val="left"/>
      <w:pPr>
        <w:tabs>
          <w:tab w:val="num" w:pos="6480"/>
        </w:tabs>
        <w:ind w:left="6480" w:hanging="360"/>
      </w:pPr>
    </w:lvl>
  </w:abstractNum>
  <w:abstractNum w:abstractNumId="6" w15:restartNumberingAfterBreak="0">
    <w:nsid w:val="4D2E2F64"/>
    <w:multiLevelType w:val="multilevel"/>
    <w:tmpl w:val="7C3A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7C65C0"/>
    <w:multiLevelType w:val="hybridMultilevel"/>
    <w:tmpl w:val="387432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98312AC"/>
    <w:multiLevelType w:val="hybridMultilevel"/>
    <w:tmpl w:val="864EE6A4"/>
    <w:lvl w:ilvl="0" w:tplc="D302A4F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1282509">
    <w:abstractNumId w:val="1"/>
  </w:num>
  <w:num w:numId="2" w16cid:durableId="1051271370">
    <w:abstractNumId w:val="7"/>
  </w:num>
  <w:num w:numId="3" w16cid:durableId="956136436">
    <w:abstractNumId w:val="4"/>
  </w:num>
  <w:num w:numId="4" w16cid:durableId="1695956923">
    <w:abstractNumId w:val="3"/>
  </w:num>
  <w:num w:numId="5" w16cid:durableId="1206407849">
    <w:abstractNumId w:val="8"/>
  </w:num>
  <w:num w:numId="6" w16cid:durableId="1313563644">
    <w:abstractNumId w:val="2"/>
  </w:num>
  <w:num w:numId="7" w16cid:durableId="272134399">
    <w:abstractNumId w:val="5"/>
  </w:num>
  <w:num w:numId="8" w16cid:durableId="1581910537">
    <w:abstractNumId w:val="6"/>
  </w:num>
  <w:num w:numId="9" w16cid:durableId="1199970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FD7"/>
    <w:rsid w:val="00002F53"/>
    <w:rsid w:val="0001236F"/>
    <w:rsid w:val="000123D9"/>
    <w:rsid w:val="00012BF5"/>
    <w:rsid w:val="00020938"/>
    <w:rsid w:val="00022006"/>
    <w:rsid w:val="00022A32"/>
    <w:rsid w:val="00036068"/>
    <w:rsid w:val="0003640C"/>
    <w:rsid w:val="00037583"/>
    <w:rsid w:val="00044977"/>
    <w:rsid w:val="00045620"/>
    <w:rsid w:val="000565F6"/>
    <w:rsid w:val="0005777C"/>
    <w:rsid w:val="00065FE7"/>
    <w:rsid w:val="0006625C"/>
    <w:rsid w:val="00085D7E"/>
    <w:rsid w:val="00090A23"/>
    <w:rsid w:val="0009666B"/>
    <w:rsid w:val="000A326E"/>
    <w:rsid w:val="000A4BB5"/>
    <w:rsid w:val="000A56A9"/>
    <w:rsid w:val="000C04B6"/>
    <w:rsid w:val="000C05F1"/>
    <w:rsid w:val="000D1128"/>
    <w:rsid w:val="000D1A0D"/>
    <w:rsid w:val="000E3CC4"/>
    <w:rsid w:val="000E5ECA"/>
    <w:rsid w:val="001053AA"/>
    <w:rsid w:val="00110AA0"/>
    <w:rsid w:val="00110CDF"/>
    <w:rsid w:val="00115466"/>
    <w:rsid w:val="0011641F"/>
    <w:rsid w:val="001170CA"/>
    <w:rsid w:val="00117AA4"/>
    <w:rsid w:val="00131172"/>
    <w:rsid w:val="001433C2"/>
    <w:rsid w:val="00144EBF"/>
    <w:rsid w:val="001512C5"/>
    <w:rsid w:val="00154A3B"/>
    <w:rsid w:val="00172152"/>
    <w:rsid w:val="00182CB7"/>
    <w:rsid w:val="0019504B"/>
    <w:rsid w:val="001A308C"/>
    <w:rsid w:val="001A3D7F"/>
    <w:rsid w:val="001B09F7"/>
    <w:rsid w:val="001B0E05"/>
    <w:rsid w:val="001B1647"/>
    <w:rsid w:val="001B32FD"/>
    <w:rsid w:val="001B6B06"/>
    <w:rsid w:val="001B6CEC"/>
    <w:rsid w:val="001C063D"/>
    <w:rsid w:val="001C3B94"/>
    <w:rsid w:val="001D07C3"/>
    <w:rsid w:val="001D59B3"/>
    <w:rsid w:val="001E126C"/>
    <w:rsid w:val="001E279E"/>
    <w:rsid w:val="001E3615"/>
    <w:rsid w:val="0020582C"/>
    <w:rsid w:val="00205A95"/>
    <w:rsid w:val="00211B20"/>
    <w:rsid w:val="00222615"/>
    <w:rsid w:val="00225D2A"/>
    <w:rsid w:val="0024671B"/>
    <w:rsid w:val="002511C5"/>
    <w:rsid w:val="00266070"/>
    <w:rsid w:val="00266AF2"/>
    <w:rsid w:val="00267D33"/>
    <w:rsid w:val="00273BC0"/>
    <w:rsid w:val="0027558A"/>
    <w:rsid w:val="00281DAF"/>
    <w:rsid w:val="00284E9E"/>
    <w:rsid w:val="002A77E4"/>
    <w:rsid w:val="002B3F45"/>
    <w:rsid w:val="002B6AB2"/>
    <w:rsid w:val="002C0428"/>
    <w:rsid w:val="002C1216"/>
    <w:rsid w:val="002D0EAF"/>
    <w:rsid w:val="002D5EEE"/>
    <w:rsid w:val="002F1002"/>
    <w:rsid w:val="002F369D"/>
    <w:rsid w:val="002F7E3B"/>
    <w:rsid w:val="0030413A"/>
    <w:rsid w:val="00311739"/>
    <w:rsid w:val="003262A9"/>
    <w:rsid w:val="0033574B"/>
    <w:rsid w:val="00337D88"/>
    <w:rsid w:val="00343BB9"/>
    <w:rsid w:val="003454F7"/>
    <w:rsid w:val="00351281"/>
    <w:rsid w:val="00355869"/>
    <w:rsid w:val="003558F8"/>
    <w:rsid w:val="00376AA8"/>
    <w:rsid w:val="00381A77"/>
    <w:rsid w:val="00381F99"/>
    <w:rsid w:val="003A0FBC"/>
    <w:rsid w:val="003A7B89"/>
    <w:rsid w:val="003B071F"/>
    <w:rsid w:val="003C1370"/>
    <w:rsid w:val="003C5A27"/>
    <w:rsid w:val="003C5C52"/>
    <w:rsid w:val="003D196C"/>
    <w:rsid w:val="003D611D"/>
    <w:rsid w:val="003D6759"/>
    <w:rsid w:val="003E559B"/>
    <w:rsid w:val="003F0D79"/>
    <w:rsid w:val="003F3EBF"/>
    <w:rsid w:val="003F4F98"/>
    <w:rsid w:val="004040BD"/>
    <w:rsid w:val="00415328"/>
    <w:rsid w:val="00423233"/>
    <w:rsid w:val="004253A8"/>
    <w:rsid w:val="00427152"/>
    <w:rsid w:val="004275F8"/>
    <w:rsid w:val="00434151"/>
    <w:rsid w:val="00435A2B"/>
    <w:rsid w:val="004409CF"/>
    <w:rsid w:val="00445966"/>
    <w:rsid w:val="00452192"/>
    <w:rsid w:val="0045417E"/>
    <w:rsid w:val="00461419"/>
    <w:rsid w:val="0047211F"/>
    <w:rsid w:val="0047367B"/>
    <w:rsid w:val="00473AB3"/>
    <w:rsid w:val="00477E90"/>
    <w:rsid w:val="00490704"/>
    <w:rsid w:val="0049415D"/>
    <w:rsid w:val="004A12EF"/>
    <w:rsid w:val="004A6EBF"/>
    <w:rsid w:val="004A73A9"/>
    <w:rsid w:val="004B2D91"/>
    <w:rsid w:val="004B6DE2"/>
    <w:rsid w:val="004C0062"/>
    <w:rsid w:val="004D3AC6"/>
    <w:rsid w:val="004E60D9"/>
    <w:rsid w:val="004F031D"/>
    <w:rsid w:val="004F1386"/>
    <w:rsid w:val="004F3A08"/>
    <w:rsid w:val="004F59AE"/>
    <w:rsid w:val="004F6F44"/>
    <w:rsid w:val="004F7576"/>
    <w:rsid w:val="004F7B45"/>
    <w:rsid w:val="00504017"/>
    <w:rsid w:val="00504D49"/>
    <w:rsid w:val="00505FAE"/>
    <w:rsid w:val="005071B2"/>
    <w:rsid w:val="005100EC"/>
    <w:rsid w:val="00510F71"/>
    <w:rsid w:val="00522057"/>
    <w:rsid w:val="00523E08"/>
    <w:rsid w:val="00525B59"/>
    <w:rsid w:val="005273DF"/>
    <w:rsid w:val="0053580B"/>
    <w:rsid w:val="005359B4"/>
    <w:rsid w:val="00537535"/>
    <w:rsid w:val="0053760B"/>
    <w:rsid w:val="00557CDF"/>
    <w:rsid w:val="00560980"/>
    <w:rsid w:val="00565B31"/>
    <w:rsid w:val="005664AF"/>
    <w:rsid w:val="00575C4A"/>
    <w:rsid w:val="0058147E"/>
    <w:rsid w:val="00582474"/>
    <w:rsid w:val="005912C8"/>
    <w:rsid w:val="00596558"/>
    <w:rsid w:val="0059664F"/>
    <w:rsid w:val="005975EC"/>
    <w:rsid w:val="0059774D"/>
    <w:rsid w:val="0059774F"/>
    <w:rsid w:val="005A56DD"/>
    <w:rsid w:val="005B52C1"/>
    <w:rsid w:val="005C592C"/>
    <w:rsid w:val="005D0C93"/>
    <w:rsid w:val="005E6ABB"/>
    <w:rsid w:val="005F6287"/>
    <w:rsid w:val="005F66F0"/>
    <w:rsid w:val="005F7E36"/>
    <w:rsid w:val="00601A19"/>
    <w:rsid w:val="00612CBF"/>
    <w:rsid w:val="00623C86"/>
    <w:rsid w:val="006242C7"/>
    <w:rsid w:val="00624863"/>
    <w:rsid w:val="00627A45"/>
    <w:rsid w:val="00630B19"/>
    <w:rsid w:val="00642A55"/>
    <w:rsid w:val="00653D00"/>
    <w:rsid w:val="00683F98"/>
    <w:rsid w:val="006857E5"/>
    <w:rsid w:val="00687091"/>
    <w:rsid w:val="006952F1"/>
    <w:rsid w:val="00697208"/>
    <w:rsid w:val="006A0416"/>
    <w:rsid w:val="006A188D"/>
    <w:rsid w:val="006A5FC6"/>
    <w:rsid w:val="006D0124"/>
    <w:rsid w:val="006D0F0E"/>
    <w:rsid w:val="006D342C"/>
    <w:rsid w:val="006E3E91"/>
    <w:rsid w:val="006E4DE6"/>
    <w:rsid w:val="006E677A"/>
    <w:rsid w:val="006F3C5C"/>
    <w:rsid w:val="006F7A4E"/>
    <w:rsid w:val="0070501F"/>
    <w:rsid w:val="00710417"/>
    <w:rsid w:val="007120A1"/>
    <w:rsid w:val="00713FA8"/>
    <w:rsid w:val="00714AAA"/>
    <w:rsid w:val="0072779F"/>
    <w:rsid w:val="00727D25"/>
    <w:rsid w:val="00732C31"/>
    <w:rsid w:val="00732E81"/>
    <w:rsid w:val="00744509"/>
    <w:rsid w:val="00750F8F"/>
    <w:rsid w:val="0075164D"/>
    <w:rsid w:val="00756733"/>
    <w:rsid w:val="007601A5"/>
    <w:rsid w:val="007635F9"/>
    <w:rsid w:val="007812E3"/>
    <w:rsid w:val="007A0CA4"/>
    <w:rsid w:val="007A2D9B"/>
    <w:rsid w:val="007A594E"/>
    <w:rsid w:val="007B228E"/>
    <w:rsid w:val="007B61FA"/>
    <w:rsid w:val="007C36B0"/>
    <w:rsid w:val="007C677B"/>
    <w:rsid w:val="007D4358"/>
    <w:rsid w:val="007D6BA9"/>
    <w:rsid w:val="007E72D7"/>
    <w:rsid w:val="007F0ECA"/>
    <w:rsid w:val="007F412D"/>
    <w:rsid w:val="007F5195"/>
    <w:rsid w:val="007F55B5"/>
    <w:rsid w:val="007F5F06"/>
    <w:rsid w:val="008045F1"/>
    <w:rsid w:val="0082582F"/>
    <w:rsid w:val="008308D7"/>
    <w:rsid w:val="00830FD7"/>
    <w:rsid w:val="00831835"/>
    <w:rsid w:val="008430D1"/>
    <w:rsid w:val="0084357C"/>
    <w:rsid w:val="00845441"/>
    <w:rsid w:val="008501CC"/>
    <w:rsid w:val="00853408"/>
    <w:rsid w:val="00855E3A"/>
    <w:rsid w:val="00857CCA"/>
    <w:rsid w:val="00872BFE"/>
    <w:rsid w:val="00882BA7"/>
    <w:rsid w:val="008844F9"/>
    <w:rsid w:val="008870DF"/>
    <w:rsid w:val="00894AAE"/>
    <w:rsid w:val="008B196E"/>
    <w:rsid w:val="008B2862"/>
    <w:rsid w:val="008B2B85"/>
    <w:rsid w:val="008B3D85"/>
    <w:rsid w:val="008B4326"/>
    <w:rsid w:val="008B7C16"/>
    <w:rsid w:val="008C0D0F"/>
    <w:rsid w:val="008C5314"/>
    <w:rsid w:val="008D0262"/>
    <w:rsid w:val="008D3ED4"/>
    <w:rsid w:val="008D6047"/>
    <w:rsid w:val="008D677A"/>
    <w:rsid w:val="008E0BD0"/>
    <w:rsid w:val="008F0DB5"/>
    <w:rsid w:val="008F3763"/>
    <w:rsid w:val="008F7EBF"/>
    <w:rsid w:val="00903A15"/>
    <w:rsid w:val="0090576C"/>
    <w:rsid w:val="00907274"/>
    <w:rsid w:val="00914539"/>
    <w:rsid w:val="00914D30"/>
    <w:rsid w:val="00917A29"/>
    <w:rsid w:val="00917D92"/>
    <w:rsid w:val="00920853"/>
    <w:rsid w:val="0092116F"/>
    <w:rsid w:val="009215F6"/>
    <w:rsid w:val="009244CF"/>
    <w:rsid w:val="00925EF5"/>
    <w:rsid w:val="009330C2"/>
    <w:rsid w:val="009333A9"/>
    <w:rsid w:val="00943ADF"/>
    <w:rsid w:val="009466CD"/>
    <w:rsid w:val="0094736A"/>
    <w:rsid w:val="00950B3A"/>
    <w:rsid w:val="00953BDA"/>
    <w:rsid w:val="00957F7A"/>
    <w:rsid w:val="00962C61"/>
    <w:rsid w:val="00965C02"/>
    <w:rsid w:val="0097640D"/>
    <w:rsid w:val="009830AD"/>
    <w:rsid w:val="00987E4B"/>
    <w:rsid w:val="00990410"/>
    <w:rsid w:val="00993733"/>
    <w:rsid w:val="00993BAF"/>
    <w:rsid w:val="00995BF3"/>
    <w:rsid w:val="009B1ABE"/>
    <w:rsid w:val="009D2AAD"/>
    <w:rsid w:val="009D304A"/>
    <w:rsid w:val="009E21BD"/>
    <w:rsid w:val="009E30AA"/>
    <w:rsid w:val="00A04C35"/>
    <w:rsid w:val="00A05117"/>
    <w:rsid w:val="00A05891"/>
    <w:rsid w:val="00A13420"/>
    <w:rsid w:val="00A13604"/>
    <w:rsid w:val="00A165C5"/>
    <w:rsid w:val="00A3389D"/>
    <w:rsid w:val="00A35EBD"/>
    <w:rsid w:val="00A4047B"/>
    <w:rsid w:val="00A41BED"/>
    <w:rsid w:val="00A43558"/>
    <w:rsid w:val="00A460E6"/>
    <w:rsid w:val="00A479E7"/>
    <w:rsid w:val="00A63F02"/>
    <w:rsid w:val="00A6423B"/>
    <w:rsid w:val="00A655DD"/>
    <w:rsid w:val="00A66A78"/>
    <w:rsid w:val="00A673DD"/>
    <w:rsid w:val="00A67A2C"/>
    <w:rsid w:val="00A70681"/>
    <w:rsid w:val="00A7687D"/>
    <w:rsid w:val="00A80444"/>
    <w:rsid w:val="00A809DF"/>
    <w:rsid w:val="00A84A08"/>
    <w:rsid w:val="00A85BE0"/>
    <w:rsid w:val="00A96B23"/>
    <w:rsid w:val="00AA640C"/>
    <w:rsid w:val="00AA71D5"/>
    <w:rsid w:val="00AC08D3"/>
    <w:rsid w:val="00AC6C2E"/>
    <w:rsid w:val="00AD04E1"/>
    <w:rsid w:val="00AD2970"/>
    <w:rsid w:val="00AD716B"/>
    <w:rsid w:val="00AD716F"/>
    <w:rsid w:val="00AE4592"/>
    <w:rsid w:val="00AE7E48"/>
    <w:rsid w:val="00AF68CE"/>
    <w:rsid w:val="00B0143B"/>
    <w:rsid w:val="00B02A0B"/>
    <w:rsid w:val="00B1286F"/>
    <w:rsid w:val="00B428A2"/>
    <w:rsid w:val="00B46627"/>
    <w:rsid w:val="00B46ADB"/>
    <w:rsid w:val="00B46DEB"/>
    <w:rsid w:val="00B64CE8"/>
    <w:rsid w:val="00B6581E"/>
    <w:rsid w:val="00B66E76"/>
    <w:rsid w:val="00B6784C"/>
    <w:rsid w:val="00B73033"/>
    <w:rsid w:val="00B81837"/>
    <w:rsid w:val="00B848D9"/>
    <w:rsid w:val="00B86399"/>
    <w:rsid w:val="00B92702"/>
    <w:rsid w:val="00BA336D"/>
    <w:rsid w:val="00BA787D"/>
    <w:rsid w:val="00BB7D03"/>
    <w:rsid w:val="00BC04CE"/>
    <w:rsid w:val="00BC2FF8"/>
    <w:rsid w:val="00BC5B93"/>
    <w:rsid w:val="00BC74BC"/>
    <w:rsid w:val="00BD2518"/>
    <w:rsid w:val="00BD6596"/>
    <w:rsid w:val="00BD7DAC"/>
    <w:rsid w:val="00BF2AE4"/>
    <w:rsid w:val="00C11AF3"/>
    <w:rsid w:val="00C12B63"/>
    <w:rsid w:val="00C209E1"/>
    <w:rsid w:val="00C20B08"/>
    <w:rsid w:val="00C2124D"/>
    <w:rsid w:val="00C24E82"/>
    <w:rsid w:val="00C33EAA"/>
    <w:rsid w:val="00C35121"/>
    <w:rsid w:val="00C37639"/>
    <w:rsid w:val="00C46338"/>
    <w:rsid w:val="00C471DE"/>
    <w:rsid w:val="00C54B95"/>
    <w:rsid w:val="00C5561E"/>
    <w:rsid w:val="00C61DA9"/>
    <w:rsid w:val="00C856D1"/>
    <w:rsid w:val="00C8591E"/>
    <w:rsid w:val="00C92D75"/>
    <w:rsid w:val="00C930FC"/>
    <w:rsid w:val="00C97236"/>
    <w:rsid w:val="00CA177B"/>
    <w:rsid w:val="00CB386A"/>
    <w:rsid w:val="00CB5B50"/>
    <w:rsid w:val="00CC7AD9"/>
    <w:rsid w:val="00CD2A62"/>
    <w:rsid w:val="00CD4076"/>
    <w:rsid w:val="00CF57C4"/>
    <w:rsid w:val="00D02F29"/>
    <w:rsid w:val="00D1215F"/>
    <w:rsid w:val="00D1221A"/>
    <w:rsid w:val="00D125BA"/>
    <w:rsid w:val="00D13618"/>
    <w:rsid w:val="00D204E9"/>
    <w:rsid w:val="00D23B1B"/>
    <w:rsid w:val="00D265CE"/>
    <w:rsid w:val="00D3141C"/>
    <w:rsid w:val="00D31E66"/>
    <w:rsid w:val="00D37ECF"/>
    <w:rsid w:val="00D534F3"/>
    <w:rsid w:val="00D577F8"/>
    <w:rsid w:val="00D70169"/>
    <w:rsid w:val="00D801C4"/>
    <w:rsid w:val="00D84FFF"/>
    <w:rsid w:val="00D90A04"/>
    <w:rsid w:val="00D9342A"/>
    <w:rsid w:val="00D93B3C"/>
    <w:rsid w:val="00D95DEE"/>
    <w:rsid w:val="00D97B3F"/>
    <w:rsid w:val="00DA1B23"/>
    <w:rsid w:val="00DA4212"/>
    <w:rsid w:val="00DC4ECE"/>
    <w:rsid w:val="00DD1D7C"/>
    <w:rsid w:val="00DD543D"/>
    <w:rsid w:val="00DD7C95"/>
    <w:rsid w:val="00DE0FA7"/>
    <w:rsid w:val="00DE7A87"/>
    <w:rsid w:val="00DF2952"/>
    <w:rsid w:val="00E04595"/>
    <w:rsid w:val="00E1188F"/>
    <w:rsid w:val="00E30D35"/>
    <w:rsid w:val="00E348D4"/>
    <w:rsid w:val="00E37160"/>
    <w:rsid w:val="00E4425F"/>
    <w:rsid w:val="00E56BE0"/>
    <w:rsid w:val="00E57E9E"/>
    <w:rsid w:val="00E64371"/>
    <w:rsid w:val="00E74D40"/>
    <w:rsid w:val="00E834B7"/>
    <w:rsid w:val="00E8763E"/>
    <w:rsid w:val="00EA374C"/>
    <w:rsid w:val="00EC0498"/>
    <w:rsid w:val="00ED2408"/>
    <w:rsid w:val="00EE1D9D"/>
    <w:rsid w:val="00EE2D30"/>
    <w:rsid w:val="00EF05D5"/>
    <w:rsid w:val="00EF211D"/>
    <w:rsid w:val="00EF6766"/>
    <w:rsid w:val="00F029B1"/>
    <w:rsid w:val="00F23885"/>
    <w:rsid w:val="00F242CD"/>
    <w:rsid w:val="00F27DF7"/>
    <w:rsid w:val="00F3165F"/>
    <w:rsid w:val="00F51D52"/>
    <w:rsid w:val="00F54CF6"/>
    <w:rsid w:val="00F55CCB"/>
    <w:rsid w:val="00F67C04"/>
    <w:rsid w:val="00F83AFE"/>
    <w:rsid w:val="00F87995"/>
    <w:rsid w:val="00F959C2"/>
    <w:rsid w:val="00F95DB7"/>
    <w:rsid w:val="00F97830"/>
    <w:rsid w:val="00F978C3"/>
    <w:rsid w:val="00FA31AB"/>
    <w:rsid w:val="00FA3949"/>
    <w:rsid w:val="00FA5AB0"/>
    <w:rsid w:val="00FA7CAD"/>
    <w:rsid w:val="00FB4F8A"/>
    <w:rsid w:val="00FC1D25"/>
    <w:rsid w:val="00FC2BBE"/>
    <w:rsid w:val="00FC5A17"/>
    <w:rsid w:val="00FD0711"/>
    <w:rsid w:val="00FD74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63313"/>
  <w15:chartTrackingRefBased/>
  <w15:docId w15:val="{99CA2C00-B632-4FF4-ABF3-AE96F6BA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47E"/>
  </w:style>
  <w:style w:type="paragraph" w:styleId="Heading1">
    <w:name w:val="heading 1"/>
    <w:basedOn w:val="Normal"/>
    <w:next w:val="Normal"/>
    <w:link w:val="Heading1Char"/>
    <w:uiPriority w:val="9"/>
    <w:qFormat/>
    <w:rsid w:val="008435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2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3C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0D9"/>
    <w:pPr>
      <w:ind w:left="720"/>
      <w:contextualSpacing/>
    </w:pPr>
  </w:style>
  <w:style w:type="paragraph" w:styleId="Caption">
    <w:name w:val="caption"/>
    <w:basedOn w:val="Normal"/>
    <w:next w:val="Normal"/>
    <w:uiPriority w:val="35"/>
    <w:unhideWhenUsed/>
    <w:qFormat/>
    <w:rsid w:val="004F3A08"/>
    <w:pPr>
      <w:spacing w:after="200" w:line="240" w:lineRule="auto"/>
    </w:pPr>
    <w:rPr>
      <w:i/>
      <w:iCs/>
      <w:color w:val="44546A" w:themeColor="text2"/>
      <w:sz w:val="18"/>
      <w:szCs w:val="18"/>
    </w:rPr>
  </w:style>
  <w:style w:type="character" w:styleId="Hyperlink">
    <w:name w:val="Hyperlink"/>
    <w:basedOn w:val="DefaultParagraphFont"/>
    <w:uiPriority w:val="99"/>
    <w:unhideWhenUsed/>
    <w:rsid w:val="00FC2BBE"/>
    <w:rPr>
      <w:color w:val="0563C1" w:themeColor="hyperlink"/>
      <w:u w:val="single"/>
    </w:rPr>
  </w:style>
  <w:style w:type="character" w:styleId="UnresolvedMention">
    <w:name w:val="Unresolved Mention"/>
    <w:basedOn w:val="DefaultParagraphFont"/>
    <w:uiPriority w:val="99"/>
    <w:semiHidden/>
    <w:unhideWhenUsed/>
    <w:rsid w:val="00FC2BBE"/>
    <w:rPr>
      <w:color w:val="605E5C"/>
      <w:shd w:val="clear" w:color="auto" w:fill="E1DFDD"/>
    </w:rPr>
  </w:style>
  <w:style w:type="character" w:customStyle="1" w:styleId="Heading1Char">
    <w:name w:val="Heading 1 Char"/>
    <w:basedOn w:val="DefaultParagraphFont"/>
    <w:link w:val="Heading1"/>
    <w:uiPriority w:val="9"/>
    <w:rsid w:val="008435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42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F3C5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E3615"/>
    <w:rPr>
      <w:color w:val="954F72" w:themeColor="followedHyperlink"/>
      <w:u w:val="single"/>
    </w:rPr>
  </w:style>
  <w:style w:type="paragraph" w:styleId="NormalWeb">
    <w:name w:val="Normal (Web)"/>
    <w:basedOn w:val="Normal"/>
    <w:uiPriority w:val="99"/>
    <w:semiHidden/>
    <w:unhideWhenUsed/>
    <w:rsid w:val="0011641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uiPriority w:val="39"/>
    <w:rsid w:val="00EE1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E0FA7"/>
    <w:pPr>
      <w:spacing w:line="240" w:lineRule="auto"/>
    </w:pPr>
    <w:rPr>
      <w:sz w:val="20"/>
      <w:szCs w:val="20"/>
    </w:rPr>
  </w:style>
  <w:style w:type="character" w:customStyle="1" w:styleId="CommentTextChar">
    <w:name w:val="Comment Text Char"/>
    <w:basedOn w:val="DefaultParagraphFont"/>
    <w:link w:val="CommentText"/>
    <w:uiPriority w:val="99"/>
    <w:semiHidden/>
    <w:rsid w:val="00DE0FA7"/>
    <w:rPr>
      <w:sz w:val="20"/>
      <w:szCs w:val="20"/>
    </w:rPr>
  </w:style>
  <w:style w:type="character" w:styleId="CommentReference">
    <w:name w:val="annotation reference"/>
    <w:basedOn w:val="DefaultParagraphFont"/>
    <w:uiPriority w:val="99"/>
    <w:semiHidden/>
    <w:unhideWhenUsed/>
    <w:rsid w:val="00DE0FA7"/>
    <w:rPr>
      <w:sz w:val="16"/>
      <w:szCs w:val="16"/>
    </w:rPr>
  </w:style>
  <w:style w:type="paragraph" w:styleId="NoSpacing">
    <w:name w:val="No Spacing"/>
    <w:link w:val="NoSpacingChar"/>
    <w:uiPriority w:val="1"/>
    <w:qFormat/>
    <w:rsid w:val="00E834B7"/>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34B7"/>
    <w:rPr>
      <w:rFonts w:eastAsiaTheme="minorEastAsia"/>
      <w:kern w:val="0"/>
      <w:lang w:val="en-US"/>
      <w14:ligatures w14:val="none"/>
    </w:rPr>
  </w:style>
  <w:style w:type="paragraph" w:customStyle="1" w:styleId="paragraph">
    <w:name w:val="paragraph"/>
    <w:basedOn w:val="Normal"/>
    <w:rsid w:val="003F3EB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3F3EBF"/>
  </w:style>
  <w:style w:type="character" w:customStyle="1" w:styleId="eop">
    <w:name w:val="eop"/>
    <w:basedOn w:val="DefaultParagraphFont"/>
    <w:rsid w:val="003F3EBF"/>
  </w:style>
  <w:style w:type="paragraph" w:styleId="Header">
    <w:name w:val="header"/>
    <w:basedOn w:val="Normal"/>
    <w:link w:val="HeaderChar"/>
    <w:uiPriority w:val="99"/>
    <w:unhideWhenUsed/>
    <w:rsid w:val="00685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7E5"/>
  </w:style>
  <w:style w:type="paragraph" w:styleId="Footer">
    <w:name w:val="footer"/>
    <w:basedOn w:val="Normal"/>
    <w:link w:val="FooterChar"/>
    <w:uiPriority w:val="99"/>
    <w:unhideWhenUsed/>
    <w:rsid w:val="00685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66028">
      <w:bodyDiv w:val="1"/>
      <w:marLeft w:val="0"/>
      <w:marRight w:val="0"/>
      <w:marTop w:val="0"/>
      <w:marBottom w:val="0"/>
      <w:divBdr>
        <w:top w:val="none" w:sz="0" w:space="0" w:color="auto"/>
        <w:left w:val="none" w:sz="0" w:space="0" w:color="auto"/>
        <w:bottom w:val="none" w:sz="0" w:space="0" w:color="auto"/>
        <w:right w:val="none" w:sz="0" w:space="0" w:color="auto"/>
      </w:divBdr>
      <w:divsChild>
        <w:div w:id="1075511326">
          <w:marLeft w:val="806"/>
          <w:marRight w:val="0"/>
          <w:marTop w:val="0"/>
          <w:marBottom w:val="0"/>
          <w:divBdr>
            <w:top w:val="none" w:sz="0" w:space="0" w:color="auto"/>
            <w:left w:val="none" w:sz="0" w:space="0" w:color="auto"/>
            <w:bottom w:val="none" w:sz="0" w:space="0" w:color="auto"/>
            <w:right w:val="none" w:sz="0" w:space="0" w:color="auto"/>
          </w:divBdr>
        </w:div>
        <w:div w:id="1861896072">
          <w:marLeft w:val="547"/>
          <w:marRight w:val="0"/>
          <w:marTop w:val="0"/>
          <w:marBottom w:val="0"/>
          <w:divBdr>
            <w:top w:val="none" w:sz="0" w:space="0" w:color="auto"/>
            <w:left w:val="none" w:sz="0" w:space="0" w:color="auto"/>
            <w:bottom w:val="none" w:sz="0" w:space="0" w:color="auto"/>
            <w:right w:val="none" w:sz="0" w:space="0" w:color="auto"/>
          </w:divBdr>
        </w:div>
        <w:div w:id="414135033">
          <w:marLeft w:val="547"/>
          <w:marRight w:val="0"/>
          <w:marTop w:val="0"/>
          <w:marBottom w:val="0"/>
          <w:divBdr>
            <w:top w:val="none" w:sz="0" w:space="0" w:color="auto"/>
            <w:left w:val="none" w:sz="0" w:space="0" w:color="auto"/>
            <w:bottom w:val="none" w:sz="0" w:space="0" w:color="auto"/>
            <w:right w:val="none" w:sz="0" w:space="0" w:color="auto"/>
          </w:divBdr>
        </w:div>
        <w:div w:id="1744328125">
          <w:marLeft w:val="547"/>
          <w:marRight w:val="0"/>
          <w:marTop w:val="0"/>
          <w:marBottom w:val="0"/>
          <w:divBdr>
            <w:top w:val="none" w:sz="0" w:space="0" w:color="auto"/>
            <w:left w:val="none" w:sz="0" w:space="0" w:color="auto"/>
            <w:bottom w:val="none" w:sz="0" w:space="0" w:color="auto"/>
            <w:right w:val="none" w:sz="0" w:space="0" w:color="auto"/>
          </w:divBdr>
        </w:div>
        <w:div w:id="802234380">
          <w:marLeft w:val="1166"/>
          <w:marRight w:val="0"/>
          <w:marTop w:val="0"/>
          <w:marBottom w:val="0"/>
          <w:divBdr>
            <w:top w:val="none" w:sz="0" w:space="0" w:color="auto"/>
            <w:left w:val="none" w:sz="0" w:space="0" w:color="auto"/>
            <w:bottom w:val="none" w:sz="0" w:space="0" w:color="auto"/>
            <w:right w:val="none" w:sz="0" w:space="0" w:color="auto"/>
          </w:divBdr>
        </w:div>
        <w:div w:id="1722826985">
          <w:marLeft w:val="547"/>
          <w:marRight w:val="0"/>
          <w:marTop w:val="0"/>
          <w:marBottom w:val="0"/>
          <w:divBdr>
            <w:top w:val="none" w:sz="0" w:space="0" w:color="auto"/>
            <w:left w:val="none" w:sz="0" w:space="0" w:color="auto"/>
            <w:bottom w:val="none" w:sz="0" w:space="0" w:color="auto"/>
            <w:right w:val="none" w:sz="0" w:space="0" w:color="auto"/>
          </w:divBdr>
        </w:div>
        <w:div w:id="1278755942">
          <w:marLeft w:val="1166"/>
          <w:marRight w:val="0"/>
          <w:marTop w:val="0"/>
          <w:marBottom w:val="0"/>
          <w:divBdr>
            <w:top w:val="none" w:sz="0" w:space="0" w:color="auto"/>
            <w:left w:val="none" w:sz="0" w:space="0" w:color="auto"/>
            <w:bottom w:val="none" w:sz="0" w:space="0" w:color="auto"/>
            <w:right w:val="none" w:sz="0" w:space="0" w:color="auto"/>
          </w:divBdr>
        </w:div>
        <w:div w:id="1662351193">
          <w:marLeft w:val="547"/>
          <w:marRight w:val="0"/>
          <w:marTop w:val="0"/>
          <w:marBottom w:val="0"/>
          <w:divBdr>
            <w:top w:val="none" w:sz="0" w:space="0" w:color="auto"/>
            <w:left w:val="none" w:sz="0" w:space="0" w:color="auto"/>
            <w:bottom w:val="none" w:sz="0" w:space="0" w:color="auto"/>
            <w:right w:val="none" w:sz="0" w:space="0" w:color="auto"/>
          </w:divBdr>
        </w:div>
        <w:div w:id="324286410">
          <w:marLeft w:val="547"/>
          <w:marRight w:val="0"/>
          <w:marTop w:val="0"/>
          <w:marBottom w:val="0"/>
          <w:divBdr>
            <w:top w:val="none" w:sz="0" w:space="0" w:color="auto"/>
            <w:left w:val="none" w:sz="0" w:space="0" w:color="auto"/>
            <w:bottom w:val="none" w:sz="0" w:space="0" w:color="auto"/>
            <w:right w:val="none" w:sz="0" w:space="0" w:color="auto"/>
          </w:divBdr>
        </w:div>
        <w:div w:id="1597013957">
          <w:marLeft w:val="547"/>
          <w:marRight w:val="0"/>
          <w:marTop w:val="0"/>
          <w:marBottom w:val="160"/>
          <w:divBdr>
            <w:top w:val="none" w:sz="0" w:space="0" w:color="auto"/>
            <w:left w:val="none" w:sz="0" w:space="0" w:color="auto"/>
            <w:bottom w:val="none" w:sz="0" w:space="0" w:color="auto"/>
            <w:right w:val="none" w:sz="0" w:space="0" w:color="auto"/>
          </w:divBdr>
        </w:div>
        <w:div w:id="2138062115">
          <w:marLeft w:val="720"/>
          <w:marRight w:val="0"/>
          <w:marTop w:val="0"/>
          <w:marBottom w:val="0"/>
          <w:divBdr>
            <w:top w:val="none" w:sz="0" w:space="0" w:color="auto"/>
            <w:left w:val="none" w:sz="0" w:space="0" w:color="auto"/>
            <w:bottom w:val="none" w:sz="0" w:space="0" w:color="auto"/>
            <w:right w:val="none" w:sz="0" w:space="0" w:color="auto"/>
          </w:divBdr>
        </w:div>
        <w:div w:id="632098170">
          <w:marLeft w:val="1440"/>
          <w:marRight w:val="0"/>
          <w:marTop w:val="0"/>
          <w:marBottom w:val="0"/>
          <w:divBdr>
            <w:top w:val="none" w:sz="0" w:space="0" w:color="auto"/>
            <w:left w:val="none" w:sz="0" w:space="0" w:color="auto"/>
            <w:bottom w:val="none" w:sz="0" w:space="0" w:color="auto"/>
            <w:right w:val="none" w:sz="0" w:space="0" w:color="auto"/>
          </w:divBdr>
        </w:div>
        <w:div w:id="1548057518">
          <w:marLeft w:val="720"/>
          <w:marRight w:val="0"/>
          <w:marTop w:val="0"/>
          <w:marBottom w:val="0"/>
          <w:divBdr>
            <w:top w:val="none" w:sz="0" w:space="0" w:color="auto"/>
            <w:left w:val="none" w:sz="0" w:space="0" w:color="auto"/>
            <w:bottom w:val="none" w:sz="0" w:space="0" w:color="auto"/>
            <w:right w:val="none" w:sz="0" w:space="0" w:color="auto"/>
          </w:divBdr>
        </w:div>
        <w:div w:id="975916038">
          <w:marLeft w:val="720"/>
          <w:marRight w:val="0"/>
          <w:marTop w:val="0"/>
          <w:marBottom w:val="0"/>
          <w:divBdr>
            <w:top w:val="none" w:sz="0" w:space="0" w:color="auto"/>
            <w:left w:val="none" w:sz="0" w:space="0" w:color="auto"/>
            <w:bottom w:val="none" w:sz="0" w:space="0" w:color="auto"/>
            <w:right w:val="none" w:sz="0" w:space="0" w:color="auto"/>
          </w:divBdr>
        </w:div>
      </w:divsChild>
    </w:div>
    <w:div w:id="468128326">
      <w:bodyDiv w:val="1"/>
      <w:marLeft w:val="0"/>
      <w:marRight w:val="0"/>
      <w:marTop w:val="0"/>
      <w:marBottom w:val="0"/>
      <w:divBdr>
        <w:top w:val="none" w:sz="0" w:space="0" w:color="auto"/>
        <w:left w:val="none" w:sz="0" w:space="0" w:color="auto"/>
        <w:bottom w:val="none" w:sz="0" w:space="0" w:color="auto"/>
        <w:right w:val="none" w:sz="0" w:space="0" w:color="auto"/>
      </w:divBdr>
      <w:divsChild>
        <w:div w:id="571280438">
          <w:marLeft w:val="0"/>
          <w:marRight w:val="0"/>
          <w:marTop w:val="0"/>
          <w:marBottom w:val="0"/>
          <w:divBdr>
            <w:top w:val="none" w:sz="0" w:space="0" w:color="auto"/>
            <w:left w:val="none" w:sz="0" w:space="0" w:color="auto"/>
            <w:bottom w:val="none" w:sz="0" w:space="0" w:color="auto"/>
            <w:right w:val="none" w:sz="0" w:space="0" w:color="auto"/>
          </w:divBdr>
        </w:div>
        <w:div w:id="31617563">
          <w:marLeft w:val="0"/>
          <w:marRight w:val="0"/>
          <w:marTop w:val="0"/>
          <w:marBottom w:val="0"/>
          <w:divBdr>
            <w:top w:val="none" w:sz="0" w:space="0" w:color="auto"/>
            <w:left w:val="none" w:sz="0" w:space="0" w:color="auto"/>
            <w:bottom w:val="none" w:sz="0" w:space="0" w:color="auto"/>
            <w:right w:val="none" w:sz="0" w:space="0" w:color="auto"/>
          </w:divBdr>
        </w:div>
      </w:divsChild>
    </w:div>
    <w:div w:id="588737685">
      <w:bodyDiv w:val="1"/>
      <w:marLeft w:val="0"/>
      <w:marRight w:val="0"/>
      <w:marTop w:val="0"/>
      <w:marBottom w:val="0"/>
      <w:divBdr>
        <w:top w:val="none" w:sz="0" w:space="0" w:color="auto"/>
        <w:left w:val="none" w:sz="0" w:space="0" w:color="auto"/>
        <w:bottom w:val="none" w:sz="0" w:space="0" w:color="auto"/>
        <w:right w:val="none" w:sz="0" w:space="0" w:color="auto"/>
      </w:divBdr>
    </w:div>
    <w:div w:id="853541443">
      <w:bodyDiv w:val="1"/>
      <w:marLeft w:val="0"/>
      <w:marRight w:val="0"/>
      <w:marTop w:val="0"/>
      <w:marBottom w:val="0"/>
      <w:divBdr>
        <w:top w:val="none" w:sz="0" w:space="0" w:color="auto"/>
        <w:left w:val="none" w:sz="0" w:space="0" w:color="auto"/>
        <w:bottom w:val="none" w:sz="0" w:space="0" w:color="auto"/>
        <w:right w:val="none" w:sz="0" w:space="0" w:color="auto"/>
      </w:divBdr>
      <w:divsChild>
        <w:div w:id="1739355983">
          <w:marLeft w:val="0"/>
          <w:marRight w:val="720"/>
          <w:marTop w:val="0"/>
          <w:marBottom w:val="0"/>
          <w:divBdr>
            <w:top w:val="none" w:sz="0" w:space="0" w:color="auto"/>
            <w:left w:val="none" w:sz="0" w:space="0" w:color="auto"/>
            <w:bottom w:val="none" w:sz="0" w:space="0" w:color="auto"/>
            <w:right w:val="none" w:sz="0" w:space="0" w:color="auto"/>
          </w:divBdr>
        </w:div>
        <w:div w:id="1327708552">
          <w:marLeft w:val="0"/>
          <w:marRight w:val="0"/>
          <w:marTop w:val="0"/>
          <w:marBottom w:val="0"/>
          <w:divBdr>
            <w:top w:val="none" w:sz="0" w:space="0" w:color="auto"/>
            <w:left w:val="none" w:sz="0" w:space="0" w:color="auto"/>
            <w:bottom w:val="none" w:sz="0" w:space="0" w:color="auto"/>
            <w:right w:val="none" w:sz="0" w:space="0" w:color="auto"/>
          </w:divBdr>
        </w:div>
      </w:divsChild>
    </w:div>
    <w:div w:id="1262449584">
      <w:bodyDiv w:val="1"/>
      <w:marLeft w:val="0"/>
      <w:marRight w:val="0"/>
      <w:marTop w:val="0"/>
      <w:marBottom w:val="0"/>
      <w:divBdr>
        <w:top w:val="none" w:sz="0" w:space="0" w:color="auto"/>
        <w:left w:val="none" w:sz="0" w:space="0" w:color="auto"/>
        <w:bottom w:val="none" w:sz="0" w:space="0" w:color="auto"/>
        <w:right w:val="none" w:sz="0" w:space="0" w:color="auto"/>
      </w:divBdr>
      <w:divsChild>
        <w:div w:id="1029837278">
          <w:marLeft w:val="0"/>
          <w:marRight w:val="0"/>
          <w:marTop w:val="0"/>
          <w:marBottom w:val="0"/>
          <w:divBdr>
            <w:top w:val="none" w:sz="0" w:space="0" w:color="auto"/>
            <w:left w:val="none" w:sz="0" w:space="0" w:color="auto"/>
            <w:bottom w:val="none" w:sz="0" w:space="0" w:color="auto"/>
            <w:right w:val="none" w:sz="0" w:space="0" w:color="auto"/>
          </w:divBdr>
        </w:div>
        <w:div w:id="40130121">
          <w:marLeft w:val="0"/>
          <w:marRight w:val="0"/>
          <w:marTop w:val="0"/>
          <w:marBottom w:val="0"/>
          <w:divBdr>
            <w:top w:val="none" w:sz="0" w:space="0" w:color="auto"/>
            <w:left w:val="none" w:sz="0" w:space="0" w:color="auto"/>
            <w:bottom w:val="none" w:sz="0" w:space="0" w:color="auto"/>
            <w:right w:val="none" w:sz="0" w:space="0" w:color="auto"/>
          </w:divBdr>
        </w:div>
      </w:divsChild>
    </w:div>
    <w:div w:id="1730378875">
      <w:bodyDiv w:val="1"/>
      <w:marLeft w:val="0"/>
      <w:marRight w:val="0"/>
      <w:marTop w:val="0"/>
      <w:marBottom w:val="0"/>
      <w:divBdr>
        <w:top w:val="none" w:sz="0" w:space="0" w:color="auto"/>
        <w:left w:val="none" w:sz="0" w:space="0" w:color="auto"/>
        <w:bottom w:val="none" w:sz="0" w:space="0" w:color="auto"/>
        <w:right w:val="none" w:sz="0" w:space="0" w:color="auto"/>
      </w:divBdr>
      <w:divsChild>
        <w:div w:id="984896647">
          <w:marLeft w:val="0"/>
          <w:marRight w:val="720"/>
          <w:marTop w:val="0"/>
          <w:marBottom w:val="0"/>
          <w:divBdr>
            <w:top w:val="none" w:sz="0" w:space="0" w:color="auto"/>
            <w:left w:val="none" w:sz="0" w:space="0" w:color="auto"/>
            <w:bottom w:val="none" w:sz="0" w:space="0" w:color="auto"/>
            <w:right w:val="none" w:sz="0" w:space="0" w:color="auto"/>
          </w:divBdr>
        </w:div>
        <w:div w:id="1598635275">
          <w:marLeft w:val="0"/>
          <w:marRight w:val="0"/>
          <w:marTop w:val="0"/>
          <w:marBottom w:val="0"/>
          <w:divBdr>
            <w:top w:val="none" w:sz="0" w:space="0" w:color="auto"/>
            <w:left w:val="none" w:sz="0" w:space="0" w:color="auto"/>
            <w:bottom w:val="none" w:sz="0" w:space="0" w:color="auto"/>
            <w:right w:val="none" w:sz="0" w:space="0" w:color="auto"/>
          </w:divBdr>
        </w:div>
      </w:divsChild>
    </w:div>
    <w:div w:id="21164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hyperlink" Target="https://doi.org/10.1590/1807-3107BOR-2016.vol30.0066" TargetMode="External"/><Relationship Id="rId21" Type="http://schemas.openxmlformats.org/officeDocument/2006/relationships/image" Target="media/image8.e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image" Target="media/image17.png"/><Relationship Id="rId37" Type="http://schemas.openxmlformats.org/officeDocument/2006/relationships/hyperlink" Target="https://www.nidcr.nih.gov/research/data-statistics/dental-caries/adults" TargetMode="External"/><Relationship Id="rId40" Type="http://schemas.openxmlformats.org/officeDocument/2006/relationships/hyperlink" Target="https://doi.org/10.1155/2018/7921247"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hyperlink" Target="https://www.gov.uk/government/publications/oral-health-survey-of-adults-attending-dental-practices-2018"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youtube.com/watch?v=C_tgPi-DRz4&amp;ab_channel=WentzelL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FB197-47BE-4C71-B5B0-F4C5F6A78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16</Pages>
  <Words>2963</Words>
  <Characters>15591</Characters>
  <Application>Microsoft Office Word</Application>
  <DocSecurity>0</DocSecurity>
  <Lines>346</Lines>
  <Paragraphs>154</Paragraphs>
  <ScaleCrop>false</ScaleCrop>
  <Company/>
  <LinksUpToDate>false</LinksUpToDate>
  <CharactersWithSpaces>18400</CharactersWithSpaces>
  <SharedDoc>false</SharedDoc>
  <HLinks>
    <vt:vector size="30" baseType="variant">
      <vt:variant>
        <vt:i4>3801147</vt:i4>
      </vt:variant>
      <vt:variant>
        <vt:i4>42</vt:i4>
      </vt:variant>
      <vt:variant>
        <vt:i4>0</vt:i4>
      </vt:variant>
      <vt:variant>
        <vt:i4>5</vt:i4>
      </vt:variant>
      <vt:variant>
        <vt:lpwstr>https://www.youtube.com/watch?v=C_tgPi-DRz4&amp;ab_channel=WentzelLab</vt:lpwstr>
      </vt:variant>
      <vt:variant>
        <vt:lpwstr/>
      </vt:variant>
      <vt:variant>
        <vt:i4>7864430</vt:i4>
      </vt:variant>
      <vt:variant>
        <vt:i4>39</vt:i4>
      </vt:variant>
      <vt:variant>
        <vt:i4>0</vt:i4>
      </vt:variant>
      <vt:variant>
        <vt:i4>5</vt:i4>
      </vt:variant>
      <vt:variant>
        <vt:lpwstr>https://www.nidcr.nih.gov/research/data-statistics/dental-caries/adults</vt:lpwstr>
      </vt:variant>
      <vt:variant>
        <vt:lpwstr/>
      </vt:variant>
      <vt:variant>
        <vt:i4>1114117</vt:i4>
      </vt:variant>
      <vt:variant>
        <vt:i4>36</vt:i4>
      </vt:variant>
      <vt:variant>
        <vt:i4>0</vt:i4>
      </vt:variant>
      <vt:variant>
        <vt:i4>5</vt:i4>
      </vt:variant>
      <vt:variant>
        <vt:lpwstr>https://www.gov.uk/government/publications/oral-health-survey-of-adults-attending-dental-practices-2018</vt:lpwstr>
      </vt:variant>
      <vt:variant>
        <vt:lpwstr>:~:text=27%25%20had%20tooth%20decay,%25%20had%20gingival%20(gum)%20bleeding</vt:lpwstr>
      </vt:variant>
      <vt:variant>
        <vt:i4>1769550</vt:i4>
      </vt:variant>
      <vt:variant>
        <vt:i4>27</vt:i4>
      </vt:variant>
      <vt:variant>
        <vt:i4>0</vt:i4>
      </vt:variant>
      <vt:variant>
        <vt:i4>5</vt:i4>
      </vt:variant>
      <vt:variant>
        <vt:lpwstr>https://www.ncbi.nlm.nih.gov/pmc/articles/PMC5987321/</vt:lpwstr>
      </vt:variant>
      <vt:variant>
        <vt:lpwstr/>
      </vt:variant>
      <vt:variant>
        <vt:i4>1769550</vt:i4>
      </vt:variant>
      <vt:variant>
        <vt:i4>24</vt:i4>
      </vt:variant>
      <vt:variant>
        <vt:i4>0</vt:i4>
      </vt:variant>
      <vt:variant>
        <vt:i4>5</vt:i4>
      </vt:variant>
      <vt:variant>
        <vt:lpwstr>https://www.ncbi.nlm.nih.gov/pmc/articles/PMC5987321/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Light-Activated Organic Polymerization ​Laboratory Activity with Applications to Dentistry</dc:title>
  <dc:subject>By Mason Swanton</dc:subject>
  <dc:creator/>
  <cp:keywords/>
  <dc:description/>
  <cp:lastModifiedBy>Mason Swanton</cp:lastModifiedBy>
  <cp:revision>432</cp:revision>
  <dcterms:created xsi:type="dcterms:W3CDTF">2024-01-28T22:20:00Z</dcterms:created>
  <dcterms:modified xsi:type="dcterms:W3CDTF">2026-04-06T20:54:00Z</dcterms:modified>
</cp:coreProperties>
</file>