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40E1F" w14:textId="7E0E76E2" w:rsidR="005705D5" w:rsidRDefault="005705D5" w:rsidP="005705D5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Literature Review of: </w:t>
      </w:r>
    </w:p>
    <w:p w14:paraId="7D5B999B" w14:textId="240312C6" w:rsidR="00DD1D7C" w:rsidRDefault="005705D5" w:rsidP="005705D5">
      <w:pPr>
        <w:jc w:val="center"/>
        <w:rPr>
          <w:sz w:val="36"/>
          <w:szCs w:val="36"/>
        </w:rPr>
      </w:pPr>
      <w:r w:rsidRPr="005705D5">
        <w:rPr>
          <w:sz w:val="36"/>
          <w:szCs w:val="36"/>
        </w:rPr>
        <w:t xml:space="preserve">Palladium-Catalyzed Decarboxylative Ortho-Acylation of Tertiary Benzamides with </w:t>
      </w:r>
      <w:proofErr w:type="spellStart"/>
      <w:r w:rsidRPr="005705D5">
        <w:rPr>
          <w:sz w:val="36"/>
          <w:szCs w:val="36"/>
        </w:rPr>
        <w:t>Arylglyoxylic</w:t>
      </w:r>
      <w:proofErr w:type="spellEnd"/>
      <w:r w:rsidRPr="005705D5">
        <w:rPr>
          <w:sz w:val="36"/>
          <w:szCs w:val="36"/>
        </w:rPr>
        <w:t xml:space="preserve"> Acids</w:t>
      </w:r>
    </w:p>
    <w:p w14:paraId="2C0745F5" w14:textId="62792FF6" w:rsidR="005705D5" w:rsidRDefault="0080383F" w:rsidP="005705D5">
      <w:pPr>
        <w:jc w:val="center"/>
        <w:rPr>
          <w:sz w:val="20"/>
          <w:szCs w:val="20"/>
        </w:rPr>
      </w:pPr>
      <w:proofErr w:type="spellStart"/>
      <w:r w:rsidRPr="0080383F">
        <w:rPr>
          <w:sz w:val="20"/>
          <w:szCs w:val="20"/>
        </w:rPr>
        <w:t>Joydev</w:t>
      </w:r>
      <w:proofErr w:type="spellEnd"/>
      <w:r w:rsidRPr="0080383F">
        <w:rPr>
          <w:sz w:val="20"/>
          <w:szCs w:val="20"/>
        </w:rPr>
        <w:t xml:space="preserve"> K. </w:t>
      </w:r>
      <w:proofErr w:type="gramStart"/>
      <w:r w:rsidRPr="0080383F">
        <w:rPr>
          <w:sz w:val="20"/>
          <w:szCs w:val="20"/>
        </w:rPr>
        <w:t>Laha,*</w:t>
      </w:r>
      <w:proofErr w:type="gramEnd"/>
      <w:r w:rsidRPr="0080383F">
        <w:rPr>
          <w:sz w:val="20"/>
          <w:szCs w:val="20"/>
        </w:rPr>
        <w:t xml:space="preserve"> Ketul V. Patel, and Sheetal Sharma</w:t>
      </w:r>
    </w:p>
    <w:p w14:paraId="1E2D2904" w14:textId="77777777" w:rsidR="0080383F" w:rsidRDefault="0080383F" w:rsidP="005705D5">
      <w:pPr>
        <w:jc w:val="center"/>
        <w:rPr>
          <w:sz w:val="20"/>
          <w:szCs w:val="20"/>
        </w:rPr>
      </w:pPr>
    </w:p>
    <w:p w14:paraId="2BD69B03" w14:textId="77777777" w:rsidR="0080383F" w:rsidRDefault="0080383F" w:rsidP="005705D5">
      <w:pPr>
        <w:jc w:val="center"/>
        <w:rPr>
          <w:sz w:val="20"/>
          <w:szCs w:val="20"/>
        </w:rPr>
      </w:pPr>
    </w:p>
    <w:p w14:paraId="14F54E93" w14:textId="77777777" w:rsidR="00E61A32" w:rsidRDefault="00E61A32" w:rsidP="005705D5">
      <w:pPr>
        <w:jc w:val="center"/>
        <w:rPr>
          <w:sz w:val="20"/>
          <w:szCs w:val="20"/>
        </w:rPr>
      </w:pPr>
    </w:p>
    <w:p w14:paraId="61A0A200" w14:textId="77777777" w:rsidR="00E61A32" w:rsidRDefault="00E61A32" w:rsidP="005705D5">
      <w:pPr>
        <w:jc w:val="center"/>
        <w:rPr>
          <w:sz w:val="20"/>
          <w:szCs w:val="20"/>
        </w:rPr>
      </w:pPr>
    </w:p>
    <w:p w14:paraId="65DD71EE" w14:textId="77777777" w:rsidR="0080383F" w:rsidRDefault="0080383F" w:rsidP="005705D5">
      <w:pPr>
        <w:jc w:val="center"/>
        <w:rPr>
          <w:sz w:val="20"/>
          <w:szCs w:val="20"/>
        </w:rPr>
      </w:pPr>
    </w:p>
    <w:p w14:paraId="76D73A6A" w14:textId="77777777" w:rsidR="0080383F" w:rsidRDefault="0080383F" w:rsidP="0080383F">
      <w:pPr>
        <w:rPr>
          <w:sz w:val="24"/>
          <w:szCs w:val="24"/>
        </w:rPr>
      </w:pPr>
    </w:p>
    <w:p w14:paraId="5C25EFC9" w14:textId="77777777" w:rsidR="0017684E" w:rsidRDefault="0017684E" w:rsidP="0080383F">
      <w:pPr>
        <w:rPr>
          <w:sz w:val="24"/>
          <w:szCs w:val="24"/>
        </w:rPr>
      </w:pPr>
    </w:p>
    <w:p w14:paraId="098A496E" w14:textId="77777777" w:rsidR="0017684E" w:rsidRDefault="0017684E" w:rsidP="0080383F">
      <w:pPr>
        <w:rPr>
          <w:sz w:val="24"/>
          <w:szCs w:val="24"/>
        </w:rPr>
      </w:pPr>
    </w:p>
    <w:p w14:paraId="56BC97C3" w14:textId="77777777" w:rsidR="0017684E" w:rsidRDefault="0017684E" w:rsidP="0080383F">
      <w:pPr>
        <w:rPr>
          <w:sz w:val="24"/>
          <w:szCs w:val="24"/>
        </w:rPr>
      </w:pPr>
    </w:p>
    <w:p w14:paraId="39973C21" w14:textId="77777777" w:rsidR="0017684E" w:rsidRDefault="0017684E" w:rsidP="0080383F">
      <w:pPr>
        <w:rPr>
          <w:sz w:val="24"/>
          <w:szCs w:val="24"/>
        </w:rPr>
      </w:pPr>
    </w:p>
    <w:p w14:paraId="378794EC" w14:textId="77777777" w:rsidR="0017684E" w:rsidRDefault="0017684E" w:rsidP="0080383F">
      <w:pPr>
        <w:rPr>
          <w:sz w:val="24"/>
          <w:szCs w:val="24"/>
        </w:rPr>
      </w:pPr>
    </w:p>
    <w:p w14:paraId="3FAADD8B" w14:textId="77777777" w:rsidR="0017684E" w:rsidRDefault="0017684E" w:rsidP="0080383F">
      <w:pPr>
        <w:rPr>
          <w:sz w:val="24"/>
          <w:szCs w:val="24"/>
        </w:rPr>
      </w:pPr>
    </w:p>
    <w:p w14:paraId="7A71FBCF" w14:textId="77777777" w:rsidR="0017684E" w:rsidRDefault="0017684E" w:rsidP="0080383F">
      <w:pPr>
        <w:rPr>
          <w:sz w:val="24"/>
          <w:szCs w:val="24"/>
        </w:rPr>
      </w:pPr>
    </w:p>
    <w:p w14:paraId="10E76DB4" w14:textId="77777777" w:rsidR="0017684E" w:rsidRDefault="0017684E" w:rsidP="0080383F">
      <w:pPr>
        <w:rPr>
          <w:sz w:val="24"/>
          <w:szCs w:val="24"/>
        </w:rPr>
      </w:pPr>
    </w:p>
    <w:p w14:paraId="51CB8D1F" w14:textId="77777777" w:rsidR="0017684E" w:rsidRDefault="0017684E" w:rsidP="0080383F">
      <w:pPr>
        <w:rPr>
          <w:sz w:val="24"/>
          <w:szCs w:val="24"/>
        </w:rPr>
      </w:pPr>
    </w:p>
    <w:p w14:paraId="3EDCB057" w14:textId="6DFCD69F" w:rsidR="0017684E" w:rsidRDefault="00846D97" w:rsidP="00846D97">
      <w:pPr>
        <w:jc w:val="center"/>
        <w:rPr>
          <w:sz w:val="28"/>
          <w:szCs w:val="28"/>
        </w:rPr>
      </w:pPr>
      <w:r>
        <w:rPr>
          <w:sz w:val="28"/>
          <w:szCs w:val="28"/>
        </w:rPr>
        <w:t>Mason Swanton</w:t>
      </w:r>
    </w:p>
    <w:p w14:paraId="1B47666F" w14:textId="0E43F12A" w:rsidR="00846D97" w:rsidRDefault="00846D97" w:rsidP="00846D97">
      <w:pPr>
        <w:jc w:val="center"/>
        <w:rPr>
          <w:sz w:val="28"/>
          <w:szCs w:val="28"/>
        </w:rPr>
      </w:pPr>
      <w:r>
        <w:rPr>
          <w:sz w:val="28"/>
          <w:szCs w:val="28"/>
        </w:rPr>
        <w:t>T00246877</w:t>
      </w:r>
    </w:p>
    <w:p w14:paraId="7166D62B" w14:textId="4BBB09B6" w:rsidR="00846D97" w:rsidRDefault="00846D97" w:rsidP="00846D97">
      <w:pPr>
        <w:jc w:val="center"/>
        <w:rPr>
          <w:sz w:val="28"/>
          <w:szCs w:val="28"/>
        </w:rPr>
      </w:pPr>
      <w:r>
        <w:rPr>
          <w:sz w:val="28"/>
          <w:szCs w:val="28"/>
        </w:rPr>
        <w:t>CHEM 4420</w:t>
      </w:r>
    </w:p>
    <w:p w14:paraId="3357D6BC" w14:textId="73DE6A8E" w:rsidR="0045077D" w:rsidRPr="00846D97" w:rsidRDefault="0045077D" w:rsidP="00846D97">
      <w:pPr>
        <w:jc w:val="center"/>
        <w:rPr>
          <w:sz w:val="28"/>
          <w:szCs w:val="28"/>
        </w:rPr>
      </w:pPr>
      <w:r>
        <w:rPr>
          <w:sz w:val="28"/>
          <w:szCs w:val="28"/>
        </w:rPr>
        <w:t>April 9</w:t>
      </w:r>
      <w:r w:rsidRPr="0045077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2026</w:t>
      </w:r>
    </w:p>
    <w:p w14:paraId="611AB45D" w14:textId="77777777" w:rsidR="0017684E" w:rsidRDefault="0017684E" w:rsidP="0080383F">
      <w:pPr>
        <w:rPr>
          <w:sz w:val="24"/>
          <w:szCs w:val="24"/>
        </w:rPr>
      </w:pPr>
    </w:p>
    <w:p w14:paraId="3314B0CF" w14:textId="77777777" w:rsidR="0017684E" w:rsidRDefault="0017684E" w:rsidP="0080383F">
      <w:pPr>
        <w:rPr>
          <w:sz w:val="24"/>
          <w:szCs w:val="24"/>
        </w:rPr>
      </w:pPr>
    </w:p>
    <w:p w14:paraId="2E381432" w14:textId="77777777" w:rsidR="00BB4550" w:rsidRDefault="00BB4550" w:rsidP="0080383F">
      <w:pPr>
        <w:rPr>
          <w:sz w:val="24"/>
          <w:szCs w:val="24"/>
        </w:rPr>
      </w:pPr>
    </w:p>
    <w:p w14:paraId="5B2668A6" w14:textId="77777777" w:rsidR="00BB4550" w:rsidRDefault="00BB4550" w:rsidP="0080383F">
      <w:pPr>
        <w:rPr>
          <w:sz w:val="24"/>
          <w:szCs w:val="24"/>
        </w:rPr>
      </w:pPr>
    </w:p>
    <w:p w14:paraId="32424088" w14:textId="29B4B37A" w:rsidR="0017684E" w:rsidRDefault="0017684E" w:rsidP="0092634B">
      <w:pPr>
        <w:pStyle w:val="Heading2"/>
        <w:rPr>
          <w:lang w:val="en-US"/>
        </w:rPr>
      </w:pPr>
      <w:r>
        <w:rPr>
          <w:lang w:val="en-US"/>
        </w:rPr>
        <w:lastRenderedPageBreak/>
        <w:t>Introduction</w:t>
      </w:r>
    </w:p>
    <w:p w14:paraId="0490AD2A" w14:textId="70C677D1" w:rsidR="0017684E" w:rsidRDefault="003F06B4" w:rsidP="00906FBD">
      <w:pPr>
        <w:spacing w:line="480" w:lineRule="auto"/>
        <w:rPr>
          <w:lang w:val="en-US"/>
        </w:rPr>
      </w:pPr>
      <w:r>
        <w:rPr>
          <w:lang w:val="en-US"/>
        </w:rPr>
        <w:t>Th</w:t>
      </w:r>
      <w:r w:rsidR="00711B8A">
        <w:rPr>
          <w:lang w:val="en-US"/>
        </w:rPr>
        <w:t>is paper, written by J</w:t>
      </w:r>
      <w:r w:rsidR="00D671C1">
        <w:rPr>
          <w:lang w:val="en-US"/>
        </w:rPr>
        <w:t>oydev, Ketul, and Sheetal</w:t>
      </w:r>
      <w:r w:rsidR="00630D55">
        <w:rPr>
          <w:lang w:val="en-US"/>
        </w:rPr>
        <w:t xml:space="preserve"> discussed a palladium catalyzed ortho-acylation</w:t>
      </w:r>
      <w:r w:rsidR="004A42E7">
        <w:rPr>
          <w:lang w:val="en-US"/>
        </w:rPr>
        <w:t xml:space="preserve"> of tertiary benzamides using </w:t>
      </w:r>
      <w:proofErr w:type="spellStart"/>
      <w:r w:rsidR="004A42E7">
        <w:rPr>
          <w:lang w:val="en-US"/>
        </w:rPr>
        <w:t>arylglyoxylic</w:t>
      </w:r>
      <w:proofErr w:type="spellEnd"/>
      <w:r w:rsidR="004A42E7">
        <w:rPr>
          <w:lang w:val="en-US"/>
        </w:rPr>
        <w:t xml:space="preserve"> acids.</w:t>
      </w:r>
      <w:r w:rsidR="001A7A1C">
        <w:rPr>
          <w:lang w:val="en-US"/>
        </w:rPr>
        <w:t xml:space="preserve"> </w:t>
      </w:r>
      <w:r w:rsidR="00CC6C36">
        <w:rPr>
          <w:lang w:val="en-US"/>
        </w:rPr>
        <w:t>How the type of palladium catalyst, additive</w:t>
      </w:r>
      <w:r w:rsidR="005B5DAA">
        <w:rPr>
          <w:lang w:val="en-US"/>
        </w:rPr>
        <w:t xml:space="preserve"> (if any)</w:t>
      </w:r>
      <w:r w:rsidR="00CC6C36">
        <w:rPr>
          <w:lang w:val="en-US"/>
        </w:rPr>
        <w:t xml:space="preserve">, oxidant, </w:t>
      </w:r>
      <w:r w:rsidR="005B5DAA">
        <w:rPr>
          <w:lang w:val="en-US"/>
        </w:rPr>
        <w:t xml:space="preserve">and </w:t>
      </w:r>
      <w:r w:rsidR="00CC6C36">
        <w:rPr>
          <w:lang w:val="en-US"/>
        </w:rPr>
        <w:t>solvent</w:t>
      </w:r>
      <w:r w:rsidR="005B5DAA">
        <w:rPr>
          <w:lang w:val="en-US"/>
        </w:rPr>
        <w:t xml:space="preserve"> affected the yield of the </w:t>
      </w:r>
      <w:r w:rsidR="00906FBD">
        <w:rPr>
          <w:lang w:val="en-US"/>
        </w:rPr>
        <w:t>product was reco</w:t>
      </w:r>
      <w:r w:rsidR="003E09C8">
        <w:rPr>
          <w:lang w:val="en-US"/>
        </w:rPr>
        <w:t xml:space="preserve">rded. Furthermore, the mechanism </w:t>
      </w:r>
      <w:r w:rsidR="00B71614">
        <w:rPr>
          <w:lang w:val="en-US"/>
        </w:rPr>
        <w:t>of this reaction</w:t>
      </w:r>
      <w:r w:rsidR="00011F0E">
        <w:rPr>
          <w:lang w:val="en-US"/>
        </w:rPr>
        <w:t xml:space="preserve"> was</w:t>
      </w:r>
      <w:r w:rsidR="00B71614">
        <w:rPr>
          <w:lang w:val="en-US"/>
        </w:rPr>
        <w:t xml:space="preserve"> compared to </w:t>
      </w:r>
      <w:r w:rsidR="00124C94">
        <w:rPr>
          <w:lang w:val="en-US"/>
        </w:rPr>
        <w:t xml:space="preserve">previously </w:t>
      </w:r>
      <w:r w:rsidR="00B71614">
        <w:rPr>
          <w:lang w:val="en-US"/>
        </w:rPr>
        <w:t xml:space="preserve">reported insertion of palladium between </w:t>
      </w:r>
      <w:r w:rsidR="00011F0E">
        <w:rPr>
          <w:lang w:val="en-US"/>
        </w:rPr>
        <w:t>the N-C bond of N-C=O</w:t>
      </w:r>
    </w:p>
    <w:p w14:paraId="60616FD6" w14:textId="77777777" w:rsidR="0092634B" w:rsidRDefault="0092634B" w:rsidP="0092634B">
      <w:pPr>
        <w:keepNext/>
        <w:spacing w:line="480" w:lineRule="auto"/>
        <w:jc w:val="center"/>
      </w:pPr>
      <w:r w:rsidRPr="0092634B">
        <w:rPr>
          <w:noProof/>
          <w:lang w:val="en-US"/>
        </w:rPr>
        <w:drawing>
          <wp:inline distT="0" distB="0" distL="0" distR="0" wp14:anchorId="72625F93" wp14:editId="7AE3B1AF">
            <wp:extent cx="3752850" cy="3401435"/>
            <wp:effectExtent l="0" t="0" r="0" b="8890"/>
            <wp:docPr id="347359835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64510C79-C76D-43AD-85ED-B02A8C0FB3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35983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58308" cy="3406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9D629" w14:textId="7CAB4E3C" w:rsidR="00906FBD" w:rsidRDefault="0092634B" w:rsidP="0092634B">
      <w:pPr>
        <w:pStyle w:val="Caption"/>
        <w:jc w:val="center"/>
      </w:pPr>
      <w:r>
        <w:t xml:space="preserve">Figure </w:t>
      </w:r>
      <w:fldSimple w:instr=" SEQ Figure \* ARABIC ">
        <w:r w:rsidR="000F57DE">
          <w:rPr>
            <w:noProof/>
          </w:rPr>
          <w:t>1</w:t>
        </w:r>
      </w:fldSimple>
      <w:r>
        <w:t>. Comparison of previous reaction schemes compared to this paper's scheme</w:t>
      </w:r>
    </w:p>
    <w:p w14:paraId="50AC5D42" w14:textId="77777777" w:rsidR="00EB67D5" w:rsidRDefault="00EB67D5" w:rsidP="0092634B">
      <w:pPr>
        <w:rPr>
          <w:lang w:val="en-US"/>
        </w:rPr>
      </w:pPr>
    </w:p>
    <w:p w14:paraId="67AD8361" w14:textId="77777777" w:rsidR="00624C96" w:rsidRDefault="00624C96" w:rsidP="00624C96">
      <w:pPr>
        <w:keepNext/>
        <w:jc w:val="center"/>
      </w:pPr>
      <w:r w:rsidRPr="00624C96">
        <w:rPr>
          <w:noProof/>
          <w:lang w:val="en-US"/>
        </w:rPr>
        <w:drawing>
          <wp:inline distT="0" distB="0" distL="0" distR="0" wp14:anchorId="43470677" wp14:editId="16CFCFBC">
            <wp:extent cx="3972479" cy="1324160"/>
            <wp:effectExtent l="0" t="0" r="0" b="9525"/>
            <wp:docPr id="1590403048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65C826D3-945C-42DA-AFE8-F02F369919E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40304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72479" cy="132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C25A0" w14:textId="5D942FCD" w:rsidR="00EB67D5" w:rsidRDefault="00624C96" w:rsidP="00624C96">
      <w:pPr>
        <w:pStyle w:val="Caption"/>
        <w:jc w:val="center"/>
        <w:rPr>
          <w:lang w:val="en-US"/>
        </w:rPr>
      </w:pPr>
      <w:r>
        <w:t xml:space="preserve">Figure </w:t>
      </w:r>
      <w:fldSimple w:instr=" SEQ Figure \* ARABIC ">
        <w:r w:rsidR="000F57DE">
          <w:rPr>
            <w:noProof/>
          </w:rPr>
          <w:t>2</w:t>
        </w:r>
      </w:fldSimple>
      <w:r>
        <w:t>. Reaction undergoing optimization study</w:t>
      </w:r>
    </w:p>
    <w:p w14:paraId="0D21D078" w14:textId="77777777" w:rsidR="005552F9" w:rsidRDefault="005552F9" w:rsidP="0092634B">
      <w:pPr>
        <w:rPr>
          <w:lang w:val="en-US"/>
        </w:rPr>
      </w:pPr>
    </w:p>
    <w:p w14:paraId="1FA1EFE7" w14:textId="4453567A" w:rsidR="006A2321" w:rsidRDefault="006A2321" w:rsidP="00624C96">
      <w:pPr>
        <w:pStyle w:val="Caption"/>
        <w:keepNext/>
        <w:jc w:val="center"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>. Varying reaction conditions for figure 2 reaction</w:t>
      </w:r>
    </w:p>
    <w:tbl>
      <w:tblPr>
        <w:tblStyle w:val="PlainTable3"/>
        <w:tblW w:w="0" w:type="auto"/>
        <w:jc w:val="center"/>
        <w:tblLook w:val="04A0" w:firstRow="1" w:lastRow="0" w:firstColumn="1" w:lastColumn="0" w:noHBand="0" w:noVBand="1"/>
      </w:tblPr>
      <w:tblGrid>
        <w:gridCol w:w="876"/>
        <w:gridCol w:w="1351"/>
        <w:gridCol w:w="1332"/>
        <w:gridCol w:w="1220"/>
        <w:gridCol w:w="1489"/>
        <w:gridCol w:w="947"/>
      </w:tblGrid>
      <w:tr w:rsidR="006C248C" w14:paraId="6A0DAFA5" w14:textId="77777777" w:rsidTr="006C24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69" w:type="dxa"/>
          </w:tcPr>
          <w:p w14:paraId="55038CBB" w14:textId="08749404" w:rsidR="005552F9" w:rsidRDefault="003A366A" w:rsidP="00624C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Entry</w:t>
            </w:r>
          </w:p>
        </w:tc>
        <w:tc>
          <w:tcPr>
            <w:tcW w:w="1351" w:type="dxa"/>
          </w:tcPr>
          <w:p w14:paraId="043AD122" w14:textId="3FA2635A" w:rsidR="005552F9" w:rsidRDefault="003A366A" w:rsidP="00624C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Catalyst</w:t>
            </w:r>
          </w:p>
        </w:tc>
        <w:tc>
          <w:tcPr>
            <w:tcW w:w="1332" w:type="dxa"/>
          </w:tcPr>
          <w:p w14:paraId="5F75A7BE" w14:textId="3F5A176A" w:rsidR="005552F9" w:rsidRDefault="003A366A" w:rsidP="00624C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Additive (equiv)</w:t>
            </w:r>
          </w:p>
        </w:tc>
        <w:tc>
          <w:tcPr>
            <w:tcW w:w="1219" w:type="dxa"/>
          </w:tcPr>
          <w:p w14:paraId="3FB10C2D" w14:textId="5C2FEC58" w:rsidR="005552F9" w:rsidRDefault="003A366A" w:rsidP="00624C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Oxidant</w:t>
            </w:r>
          </w:p>
        </w:tc>
        <w:tc>
          <w:tcPr>
            <w:tcW w:w="1489" w:type="dxa"/>
          </w:tcPr>
          <w:p w14:paraId="062CE042" w14:textId="1BF4B7F3" w:rsidR="005552F9" w:rsidRDefault="003A366A" w:rsidP="00624C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Solvent</w:t>
            </w:r>
          </w:p>
        </w:tc>
        <w:tc>
          <w:tcPr>
            <w:tcW w:w="947" w:type="dxa"/>
          </w:tcPr>
          <w:p w14:paraId="02A40984" w14:textId="453BA843" w:rsidR="005552F9" w:rsidRDefault="003A366A" w:rsidP="00624C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Yield</w:t>
            </w:r>
          </w:p>
        </w:tc>
      </w:tr>
      <w:tr w:rsidR="006C248C" w14:paraId="0A32A2CF" w14:textId="77777777" w:rsidTr="006C2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3E3D090B" w14:textId="0A45DBE9" w:rsidR="005552F9" w:rsidRDefault="003A366A" w:rsidP="00624C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51" w:type="dxa"/>
          </w:tcPr>
          <w:p w14:paraId="4690C37D" w14:textId="0C3E85F3" w:rsidR="005552F9" w:rsidRPr="003A366A" w:rsidRDefault="003A366A" w:rsidP="00624C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gramStart"/>
            <w:r>
              <w:rPr>
                <w:lang w:val="en-US"/>
              </w:rPr>
              <w:t>Pd(</w:t>
            </w:r>
            <w:proofErr w:type="spellStart"/>
            <w:proofErr w:type="gramEnd"/>
            <w:r>
              <w:rPr>
                <w:lang w:val="en-US"/>
              </w:rPr>
              <w:t>OAc</w:t>
            </w:r>
            <w:proofErr w:type="spellEnd"/>
            <w:r>
              <w:rPr>
                <w:lang w:val="en-US"/>
              </w:rPr>
              <w:t>)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332" w:type="dxa"/>
          </w:tcPr>
          <w:p w14:paraId="3AA859BE" w14:textId="77777777" w:rsidR="005552F9" w:rsidRDefault="005552F9" w:rsidP="00624C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19" w:type="dxa"/>
          </w:tcPr>
          <w:p w14:paraId="6787A4DD" w14:textId="5CF215E4" w:rsidR="005552F9" w:rsidRPr="002F0806" w:rsidRDefault="002F0806" w:rsidP="00624C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K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S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O</w:t>
            </w:r>
            <w:r>
              <w:rPr>
                <w:vertAlign w:val="subscript"/>
                <w:lang w:val="en-US"/>
              </w:rPr>
              <w:t>8</w:t>
            </w:r>
          </w:p>
        </w:tc>
        <w:tc>
          <w:tcPr>
            <w:tcW w:w="1489" w:type="dxa"/>
          </w:tcPr>
          <w:p w14:paraId="59CCA021" w14:textId="22207393" w:rsidR="005552F9" w:rsidRDefault="00522FBF" w:rsidP="00624C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MeCN</w:t>
            </w:r>
            <w:proofErr w:type="spellEnd"/>
          </w:p>
        </w:tc>
        <w:tc>
          <w:tcPr>
            <w:tcW w:w="947" w:type="dxa"/>
          </w:tcPr>
          <w:p w14:paraId="1A27F6C5" w14:textId="53809EAF" w:rsidR="005552F9" w:rsidRDefault="00455A7C" w:rsidP="00624C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00</w:t>
            </w:r>
          </w:p>
        </w:tc>
      </w:tr>
      <w:tr w:rsidR="006C248C" w14:paraId="359CA8BB" w14:textId="77777777" w:rsidTr="006C248C">
        <w:trPr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55506674" w14:textId="351240AD" w:rsidR="005552F9" w:rsidRDefault="003A366A" w:rsidP="00624C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51" w:type="dxa"/>
          </w:tcPr>
          <w:p w14:paraId="087759B8" w14:textId="2F060DD2" w:rsidR="005552F9" w:rsidRDefault="003A366A" w:rsidP="00624C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gramStart"/>
            <w:r>
              <w:rPr>
                <w:lang w:val="en-US"/>
              </w:rPr>
              <w:t>Pd(</w:t>
            </w:r>
            <w:proofErr w:type="spellStart"/>
            <w:proofErr w:type="gramEnd"/>
            <w:r>
              <w:rPr>
                <w:lang w:val="en-US"/>
              </w:rPr>
              <w:t>OAc</w:t>
            </w:r>
            <w:proofErr w:type="spellEnd"/>
            <w:r>
              <w:rPr>
                <w:lang w:val="en-US"/>
              </w:rPr>
              <w:t>)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332" w:type="dxa"/>
          </w:tcPr>
          <w:p w14:paraId="65B998B2" w14:textId="77777777" w:rsidR="005552F9" w:rsidRDefault="005552F9" w:rsidP="00624C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19" w:type="dxa"/>
          </w:tcPr>
          <w:p w14:paraId="1C23CEFD" w14:textId="18BECAB0" w:rsidR="005552F9" w:rsidRDefault="002F0806" w:rsidP="00624C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K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S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O</w:t>
            </w:r>
            <w:r>
              <w:rPr>
                <w:vertAlign w:val="subscript"/>
                <w:lang w:val="en-US"/>
              </w:rPr>
              <w:t>8</w:t>
            </w:r>
          </w:p>
        </w:tc>
        <w:tc>
          <w:tcPr>
            <w:tcW w:w="1489" w:type="dxa"/>
          </w:tcPr>
          <w:p w14:paraId="24C89016" w14:textId="12FCEB95" w:rsidR="005552F9" w:rsidRDefault="00522FBF" w:rsidP="00624C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DCE</w:t>
            </w:r>
          </w:p>
        </w:tc>
        <w:tc>
          <w:tcPr>
            <w:tcW w:w="947" w:type="dxa"/>
          </w:tcPr>
          <w:p w14:paraId="3D4C5D1B" w14:textId="2EBF46C8" w:rsidR="005552F9" w:rsidRDefault="00455A7C" w:rsidP="00624C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</w:tr>
      <w:tr w:rsidR="006C248C" w14:paraId="326767C1" w14:textId="77777777" w:rsidTr="006C2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034E0424" w14:textId="14231A21" w:rsidR="005552F9" w:rsidRDefault="003A366A" w:rsidP="00624C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351" w:type="dxa"/>
          </w:tcPr>
          <w:p w14:paraId="6301923F" w14:textId="4A93EA4A" w:rsidR="005552F9" w:rsidRDefault="003A366A" w:rsidP="00624C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gramStart"/>
            <w:r>
              <w:rPr>
                <w:lang w:val="en-US"/>
              </w:rPr>
              <w:t>Pd(</w:t>
            </w:r>
            <w:proofErr w:type="gramEnd"/>
            <w:r>
              <w:rPr>
                <w:lang w:val="en-US"/>
              </w:rPr>
              <w:t>TFA)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332" w:type="dxa"/>
          </w:tcPr>
          <w:p w14:paraId="4E546B6E" w14:textId="77777777" w:rsidR="005552F9" w:rsidRDefault="005552F9" w:rsidP="00624C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19" w:type="dxa"/>
          </w:tcPr>
          <w:p w14:paraId="17AA4510" w14:textId="3787D2D4" w:rsidR="005552F9" w:rsidRDefault="002F0806" w:rsidP="00624C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K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S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O</w:t>
            </w:r>
            <w:r>
              <w:rPr>
                <w:vertAlign w:val="subscript"/>
                <w:lang w:val="en-US"/>
              </w:rPr>
              <w:t>8</w:t>
            </w:r>
          </w:p>
        </w:tc>
        <w:tc>
          <w:tcPr>
            <w:tcW w:w="1489" w:type="dxa"/>
          </w:tcPr>
          <w:p w14:paraId="7A283214" w14:textId="0A2D41BE" w:rsidR="005552F9" w:rsidRDefault="00522FBF" w:rsidP="00624C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DCE</w:t>
            </w:r>
          </w:p>
        </w:tc>
        <w:tc>
          <w:tcPr>
            <w:tcW w:w="947" w:type="dxa"/>
          </w:tcPr>
          <w:p w14:paraId="73161D1A" w14:textId="7657C09A" w:rsidR="005552F9" w:rsidRDefault="00455A7C" w:rsidP="00624C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</w:tr>
      <w:tr w:rsidR="006C248C" w14:paraId="219CA9AF" w14:textId="77777777" w:rsidTr="006C248C">
        <w:trPr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48AA2635" w14:textId="21AE3151" w:rsidR="003A366A" w:rsidRDefault="003A366A" w:rsidP="00624C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351" w:type="dxa"/>
          </w:tcPr>
          <w:p w14:paraId="4288AD8C" w14:textId="28989EDE" w:rsidR="003A366A" w:rsidRDefault="003A366A" w:rsidP="00624C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gramStart"/>
            <w:r>
              <w:rPr>
                <w:lang w:val="en-US"/>
              </w:rPr>
              <w:t>Pd(</w:t>
            </w:r>
            <w:proofErr w:type="gramEnd"/>
            <w:r>
              <w:rPr>
                <w:lang w:val="en-US"/>
              </w:rPr>
              <w:t>TFA)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332" w:type="dxa"/>
          </w:tcPr>
          <w:p w14:paraId="1076BC16" w14:textId="77777777" w:rsidR="003A366A" w:rsidRDefault="003A366A" w:rsidP="00624C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19" w:type="dxa"/>
          </w:tcPr>
          <w:p w14:paraId="361A64DF" w14:textId="1FA27F58" w:rsidR="003A366A" w:rsidRDefault="00522FBF" w:rsidP="00624C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(NH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)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S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O</w:t>
            </w:r>
            <w:r>
              <w:rPr>
                <w:vertAlign w:val="subscript"/>
                <w:lang w:val="en-US"/>
              </w:rPr>
              <w:t>8</w:t>
            </w:r>
          </w:p>
        </w:tc>
        <w:tc>
          <w:tcPr>
            <w:tcW w:w="1489" w:type="dxa"/>
          </w:tcPr>
          <w:p w14:paraId="2D9C806D" w14:textId="008E6B16" w:rsidR="003A366A" w:rsidRDefault="00522FBF" w:rsidP="00624C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DCE</w:t>
            </w:r>
          </w:p>
        </w:tc>
        <w:tc>
          <w:tcPr>
            <w:tcW w:w="947" w:type="dxa"/>
          </w:tcPr>
          <w:p w14:paraId="67F79F06" w14:textId="470D7911" w:rsidR="003A366A" w:rsidRDefault="00455A7C" w:rsidP="00624C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83</w:t>
            </w:r>
          </w:p>
        </w:tc>
      </w:tr>
      <w:tr w:rsidR="006C248C" w14:paraId="1DD0033D" w14:textId="77777777" w:rsidTr="006C2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539C9E5D" w14:textId="7D66847F" w:rsidR="003A366A" w:rsidRPr="00522FBF" w:rsidRDefault="003A366A" w:rsidP="00624C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522FBF">
              <w:rPr>
                <w:vertAlign w:val="superscript"/>
                <w:lang w:val="en-US"/>
              </w:rPr>
              <w:t>c</w:t>
            </w:r>
          </w:p>
        </w:tc>
        <w:tc>
          <w:tcPr>
            <w:tcW w:w="1351" w:type="dxa"/>
          </w:tcPr>
          <w:p w14:paraId="3A743458" w14:textId="44CB7274" w:rsidR="003A366A" w:rsidRDefault="003A366A" w:rsidP="00624C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gramStart"/>
            <w:r>
              <w:rPr>
                <w:lang w:val="en-US"/>
              </w:rPr>
              <w:t>Pd(</w:t>
            </w:r>
            <w:proofErr w:type="gramEnd"/>
            <w:r>
              <w:rPr>
                <w:lang w:val="en-US"/>
              </w:rPr>
              <w:t>TFA)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332" w:type="dxa"/>
          </w:tcPr>
          <w:p w14:paraId="1708F6A7" w14:textId="77777777" w:rsidR="003A366A" w:rsidRDefault="003A366A" w:rsidP="00624C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19" w:type="dxa"/>
          </w:tcPr>
          <w:p w14:paraId="4DEB209C" w14:textId="554119C9" w:rsidR="003A366A" w:rsidRDefault="00522FBF" w:rsidP="00624C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(NH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)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S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O</w:t>
            </w:r>
            <w:r>
              <w:rPr>
                <w:vertAlign w:val="subscript"/>
                <w:lang w:val="en-US"/>
              </w:rPr>
              <w:t>8</w:t>
            </w:r>
          </w:p>
        </w:tc>
        <w:tc>
          <w:tcPr>
            <w:tcW w:w="1489" w:type="dxa"/>
          </w:tcPr>
          <w:p w14:paraId="504EE680" w14:textId="0CE30C96" w:rsidR="003A366A" w:rsidRDefault="00522FBF" w:rsidP="00624C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Other solvents</w:t>
            </w:r>
          </w:p>
        </w:tc>
        <w:tc>
          <w:tcPr>
            <w:tcW w:w="947" w:type="dxa"/>
          </w:tcPr>
          <w:p w14:paraId="7DED9091" w14:textId="291F4DF9" w:rsidR="003A366A" w:rsidRDefault="00455A7C" w:rsidP="00624C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Trace</w:t>
            </w:r>
          </w:p>
        </w:tc>
      </w:tr>
      <w:tr w:rsidR="006C248C" w14:paraId="0BB53ACF" w14:textId="77777777" w:rsidTr="006C248C">
        <w:trPr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5018F8AD" w14:textId="40858896" w:rsidR="003A366A" w:rsidRDefault="003A366A" w:rsidP="00624C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351" w:type="dxa"/>
          </w:tcPr>
          <w:p w14:paraId="6908E38E" w14:textId="77B59914" w:rsidR="003A366A" w:rsidRDefault="003A366A" w:rsidP="00624C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gramStart"/>
            <w:r>
              <w:rPr>
                <w:lang w:val="en-US"/>
              </w:rPr>
              <w:t>Pd(</w:t>
            </w:r>
            <w:proofErr w:type="gramEnd"/>
            <w:r>
              <w:rPr>
                <w:lang w:val="en-US"/>
              </w:rPr>
              <w:t>TFA)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332" w:type="dxa"/>
          </w:tcPr>
          <w:p w14:paraId="150EAF35" w14:textId="77777777" w:rsidR="003A366A" w:rsidRDefault="003A366A" w:rsidP="00624C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19" w:type="dxa"/>
          </w:tcPr>
          <w:p w14:paraId="6F6437F4" w14:textId="0803EB45" w:rsidR="003A366A" w:rsidRDefault="00522FBF" w:rsidP="00624C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Ag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CO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1489" w:type="dxa"/>
          </w:tcPr>
          <w:p w14:paraId="72C37237" w14:textId="6CE496DF" w:rsidR="003A366A" w:rsidRDefault="00522FBF" w:rsidP="00624C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DCE</w:t>
            </w:r>
          </w:p>
        </w:tc>
        <w:tc>
          <w:tcPr>
            <w:tcW w:w="947" w:type="dxa"/>
          </w:tcPr>
          <w:p w14:paraId="4F019B72" w14:textId="4578BD9C" w:rsidR="003A366A" w:rsidRDefault="00455A7C" w:rsidP="00624C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</w:tr>
      <w:tr w:rsidR="006C248C" w14:paraId="38FC8F0A" w14:textId="77777777" w:rsidTr="006C2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429DDB3C" w14:textId="5DD5BEE1" w:rsidR="003A366A" w:rsidRDefault="003A366A" w:rsidP="00624C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351" w:type="dxa"/>
          </w:tcPr>
          <w:p w14:paraId="3CF063F0" w14:textId="7494411A" w:rsidR="003A366A" w:rsidRDefault="003A366A" w:rsidP="00624C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332" w:type="dxa"/>
          </w:tcPr>
          <w:p w14:paraId="6D36D18A" w14:textId="77777777" w:rsidR="003A366A" w:rsidRDefault="003A366A" w:rsidP="00624C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19" w:type="dxa"/>
          </w:tcPr>
          <w:p w14:paraId="6B1195CA" w14:textId="69BC7D8A" w:rsidR="003A366A" w:rsidRDefault="00522FBF" w:rsidP="00624C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(NH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)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S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O</w:t>
            </w:r>
            <w:r>
              <w:rPr>
                <w:vertAlign w:val="subscript"/>
                <w:lang w:val="en-US"/>
              </w:rPr>
              <w:t>8</w:t>
            </w:r>
          </w:p>
        </w:tc>
        <w:tc>
          <w:tcPr>
            <w:tcW w:w="1489" w:type="dxa"/>
          </w:tcPr>
          <w:p w14:paraId="1CAC4D90" w14:textId="6A30CAB5" w:rsidR="003A366A" w:rsidRDefault="00522FBF" w:rsidP="00624C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DCE</w:t>
            </w:r>
          </w:p>
        </w:tc>
        <w:tc>
          <w:tcPr>
            <w:tcW w:w="947" w:type="dxa"/>
          </w:tcPr>
          <w:p w14:paraId="19284570" w14:textId="440EF232" w:rsidR="003A366A" w:rsidRDefault="00455A7C" w:rsidP="00624C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6C248C" w14:paraId="1D0BEB22" w14:textId="77777777" w:rsidTr="006C248C">
        <w:trPr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4C0832B2" w14:textId="6C089627" w:rsidR="003A366A" w:rsidRDefault="003A366A" w:rsidP="00624C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351" w:type="dxa"/>
          </w:tcPr>
          <w:p w14:paraId="718DBC1D" w14:textId="33AFD4A5" w:rsidR="003A366A" w:rsidRDefault="003A366A" w:rsidP="00624C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gramStart"/>
            <w:r>
              <w:rPr>
                <w:lang w:val="en-US"/>
              </w:rPr>
              <w:t>Pd(</w:t>
            </w:r>
            <w:proofErr w:type="gramEnd"/>
            <w:r>
              <w:rPr>
                <w:lang w:val="en-US"/>
              </w:rPr>
              <w:t>TFA)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332" w:type="dxa"/>
          </w:tcPr>
          <w:p w14:paraId="6576A27D" w14:textId="2A22231E" w:rsidR="003A366A" w:rsidRDefault="002F0806" w:rsidP="00624C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TfOH</w:t>
            </w:r>
            <w:proofErr w:type="spellEnd"/>
            <w:r>
              <w:rPr>
                <w:lang w:val="en-US"/>
              </w:rPr>
              <w:t xml:space="preserve"> (0.2)</w:t>
            </w:r>
          </w:p>
        </w:tc>
        <w:tc>
          <w:tcPr>
            <w:tcW w:w="1219" w:type="dxa"/>
          </w:tcPr>
          <w:p w14:paraId="13447C4A" w14:textId="03325F93" w:rsidR="003A366A" w:rsidRDefault="00522FBF" w:rsidP="00624C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(NH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)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S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O</w:t>
            </w:r>
            <w:r>
              <w:rPr>
                <w:vertAlign w:val="subscript"/>
                <w:lang w:val="en-US"/>
              </w:rPr>
              <w:t>8</w:t>
            </w:r>
          </w:p>
        </w:tc>
        <w:tc>
          <w:tcPr>
            <w:tcW w:w="1489" w:type="dxa"/>
          </w:tcPr>
          <w:p w14:paraId="4560E56B" w14:textId="1FB3991B" w:rsidR="003A366A" w:rsidRDefault="00522FBF" w:rsidP="00624C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DCE</w:t>
            </w:r>
          </w:p>
        </w:tc>
        <w:tc>
          <w:tcPr>
            <w:tcW w:w="947" w:type="dxa"/>
          </w:tcPr>
          <w:p w14:paraId="314E1F1A" w14:textId="7F22F84C" w:rsidR="003A366A" w:rsidRDefault="00455A7C" w:rsidP="00624C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84</w:t>
            </w:r>
          </w:p>
        </w:tc>
      </w:tr>
      <w:tr w:rsidR="006C248C" w14:paraId="2C380B07" w14:textId="77777777" w:rsidTr="006C2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6D484427" w14:textId="20753CE6" w:rsidR="002F0806" w:rsidRDefault="002F0806" w:rsidP="00624C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351" w:type="dxa"/>
          </w:tcPr>
          <w:p w14:paraId="086B6CFB" w14:textId="5313BA53" w:rsidR="002F0806" w:rsidRDefault="002F0806" w:rsidP="00624C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gramStart"/>
            <w:r>
              <w:rPr>
                <w:lang w:val="en-US"/>
              </w:rPr>
              <w:t>Pd(</w:t>
            </w:r>
            <w:proofErr w:type="gramEnd"/>
            <w:r>
              <w:rPr>
                <w:lang w:val="en-US"/>
              </w:rPr>
              <w:t>TFA)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332" w:type="dxa"/>
          </w:tcPr>
          <w:p w14:paraId="1C408060" w14:textId="13E18FAA" w:rsidR="002F0806" w:rsidRDefault="002F0806" w:rsidP="00624C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TfOH</w:t>
            </w:r>
            <w:proofErr w:type="spellEnd"/>
            <w:r>
              <w:rPr>
                <w:lang w:val="en-US"/>
              </w:rPr>
              <w:t xml:space="preserve"> (0.2)</w:t>
            </w:r>
          </w:p>
        </w:tc>
        <w:tc>
          <w:tcPr>
            <w:tcW w:w="1219" w:type="dxa"/>
          </w:tcPr>
          <w:p w14:paraId="71899646" w14:textId="3E83DC5D" w:rsidR="002F0806" w:rsidRDefault="00522FBF" w:rsidP="00624C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(NH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)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S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O</w:t>
            </w:r>
            <w:r>
              <w:rPr>
                <w:vertAlign w:val="subscript"/>
                <w:lang w:val="en-US"/>
              </w:rPr>
              <w:t>8</w:t>
            </w:r>
          </w:p>
        </w:tc>
        <w:tc>
          <w:tcPr>
            <w:tcW w:w="1489" w:type="dxa"/>
          </w:tcPr>
          <w:p w14:paraId="4656EC7F" w14:textId="2E6232F6" w:rsidR="002F0806" w:rsidRDefault="00522FBF" w:rsidP="00624C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DCE</w:t>
            </w:r>
          </w:p>
        </w:tc>
        <w:tc>
          <w:tcPr>
            <w:tcW w:w="947" w:type="dxa"/>
          </w:tcPr>
          <w:p w14:paraId="0FBBA1BA" w14:textId="3B0AA5F9" w:rsidR="002F0806" w:rsidRDefault="00455A7C" w:rsidP="00624C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</w:tr>
      <w:tr w:rsidR="006C248C" w14:paraId="12466A7F" w14:textId="77777777" w:rsidTr="006C248C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5A929A3F" w14:textId="4918BD82" w:rsidR="002F0806" w:rsidRDefault="002F0806" w:rsidP="00624C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351" w:type="dxa"/>
          </w:tcPr>
          <w:p w14:paraId="45343F0C" w14:textId="2FBD21C2" w:rsidR="002F0806" w:rsidRDefault="002F0806" w:rsidP="00624C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gramStart"/>
            <w:r>
              <w:rPr>
                <w:lang w:val="en-US"/>
              </w:rPr>
              <w:t>Pd(</w:t>
            </w:r>
            <w:proofErr w:type="gramEnd"/>
            <w:r>
              <w:rPr>
                <w:lang w:val="en-US"/>
              </w:rPr>
              <w:t>TFA)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332" w:type="dxa"/>
          </w:tcPr>
          <w:p w14:paraId="0063993D" w14:textId="28AFA199" w:rsidR="002F0806" w:rsidRDefault="002F0806" w:rsidP="00624C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PivOH</w:t>
            </w:r>
            <w:proofErr w:type="spellEnd"/>
            <w:r>
              <w:rPr>
                <w:lang w:val="en-US"/>
              </w:rPr>
              <w:t xml:space="preserve"> (0.2)</w:t>
            </w:r>
          </w:p>
        </w:tc>
        <w:tc>
          <w:tcPr>
            <w:tcW w:w="1219" w:type="dxa"/>
          </w:tcPr>
          <w:p w14:paraId="07FA5F87" w14:textId="4A5282D4" w:rsidR="002F0806" w:rsidRDefault="00522FBF" w:rsidP="00624C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(NH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)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S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O</w:t>
            </w:r>
            <w:r>
              <w:rPr>
                <w:vertAlign w:val="subscript"/>
                <w:lang w:val="en-US"/>
              </w:rPr>
              <w:t>8</w:t>
            </w:r>
          </w:p>
        </w:tc>
        <w:tc>
          <w:tcPr>
            <w:tcW w:w="1489" w:type="dxa"/>
          </w:tcPr>
          <w:p w14:paraId="2B2F7186" w14:textId="65937E40" w:rsidR="002F0806" w:rsidRDefault="00522FBF" w:rsidP="00624C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DCE</w:t>
            </w:r>
          </w:p>
        </w:tc>
        <w:tc>
          <w:tcPr>
            <w:tcW w:w="947" w:type="dxa"/>
          </w:tcPr>
          <w:p w14:paraId="5622DB5D" w14:textId="3D16AE2F" w:rsidR="002F0806" w:rsidRDefault="00455A7C" w:rsidP="00624C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</w:tr>
      <w:tr w:rsidR="006C248C" w14:paraId="484ED623" w14:textId="77777777" w:rsidTr="006C2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6F9F0C9C" w14:textId="6EEE5200" w:rsidR="002F0806" w:rsidRDefault="002F0806" w:rsidP="00624C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351" w:type="dxa"/>
          </w:tcPr>
          <w:p w14:paraId="43B3C15F" w14:textId="28DC5FAA" w:rsidR="002F0806" w:rsidRDefault="002F0806" w:rsidP="00624C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gramStart"/>
            <w:r>
              <w:rPr>
                <w:lang w:val="en-US"/>
              </w:rPr>
              <w:t>Pd(</w:t>
            </w:r>
            <w:proofErr w:type="gramEnd"/>
            <w:r>
              <w:rPr>
                <w:lang w:val="en-US"/>
              </w:rPr>
              <w:t>TFA)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332" w:type="dxa"/>
          </w:tcPr>
          <w:p w14:paraId="620E275C" w14:textId="3B3C2AB8" w:rsidR="002F0806" w:rsidRPr="002F0806" w:rsidRDefault="002F0806" w:rsidP="00624C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K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CO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 xml:space="preserve"> (1)</w:t>
            </w:r>
          </w:p>
        </w:tc>
        <w:tc>
          <w:tcPr>
            <w:tcW w:w="1219" w:type="dxa"/>
          </w:tcPr>
          <w:p w14:paraId="5408EA0F" w14:textId="17B057A3" w:rsidR="002F0806" w:rsidRDefault="00522FBF" w:rsidP="00624C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(NH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)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S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O</w:t>
            </w:r>
            <w:r>
              <w:rPr>
                <w:vertAlign w:val="subscript"/>
                <w:lang w:val="en-US"/>
              </w:rPr>
              <w:t>8</w:t>
            </w:r>
          </w:p>
        </w:tc>
        <w:tc>
          <w:tcPr>
            <w:tcW w:w="1489" w:type="dxa"/>
          </w:tcPr>
          <w:p w14:paraId="75082207" w14:textId="499288CF" w:rsidR="002F0806" w:rsidRDefault="00522FBF" w:rsidP="00624C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DCE</w:t>
            </w:r>
          </w:p>
        </w:tc>
        <w:tc>
          <w:tcPr>
            <w:tcW w:w="947" w:type="dxa"/>
          </w:tcPr>
          <w:p w14:paraId="540E6BEA" w14:textId="6B55A263" w:rsidR="002F0806" w:rsidRDefault="00455A7C" w:rsidP="00624C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</w:tr>
      <w:tr w:rsidR="006C248C" w14:paraId="7FAEE1CF" w14:textId="77777777" w:rsidTr="006C248C">
        <w:trPr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4A81E47C" w14:textId="11A7B5FE" w:rsidR="002F0806" w:rsidRDefault="002F0806" w:rsidP="00624C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351" w:type="dxa"/>
          </w:tcPr>
          <w:p w14:paraId="742754F1" w14:textId="6BD53429" w:rsidR="002F0806" w:rsidRDefault="002F0806" w:rsidP="00624C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gramStart"/>
            <w:r>
              <w:rPr>
                <w:lang w:val="en-US"/>
              </w:rPr>
              <w:t>Pd(</w:t>
            </w:r>
            <w:proofErr w:type="gramEnd"/>
            <w:r>
              <w:rPr>
                <w:lang w:val="en-US"/>
              </w:rPr>
              <w:t>TFA)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332" w:type="dxa"/>
          </w:tcPr>
          <w:p w14:paraId="23F290F9" w14:textId="5BB8F1DC" w:rsidR="002F0806" w:rsidRDefault="002F0806" w:rsidP="00624C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TEMPO (10)</w:t>
            </w:r>
          </w:p>
        </w:tc>
        <w:tc>
          <w:tcPr>
            <w:tcW w:w="1219" w:type="dxa"/>
          </w:tcPr>
          <w:p w14:paraId="2BB057D5" w14:textId="15E8772D" w:rsidR="002F0806" w:rsidRDefault="00522FBF" w:rsidP="00624C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(NH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)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S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O</w:t>
            </w:r>
            <w:r>
              <w:rPr>
                <w:vertAlign w:val="subscript"/>
                <w:lang w:val="en-US"/>
              </w:rPr>
              <w:t>8</w:t>
            </w:r>
          </w:p>
        </w:tc>
        <w:tc>
          <w:tcPr>
            <w:tcW w:w="1489" w:type="dxa"/>
          </w:tcPr>
          <w:p w14:paraId="272642C6" w14:textId="565437FC" w:rsidR="002F0806" w:rsidRDefault="00522FBF" w:rsidP="00624C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DCE</w:t>
            </w:r>
          </w:p>
        </w:tc>
        <w:tc>
          <w:tcPr>
            <w:tcW w:w="947" w:type="dxa"/>
          </w:tcPr>
          <w:p w14:paraId="01DC68D8" w14:textId="4F439831" w:rsidR="002F0806" w:rsidRDefault="00455A7C" w:rsidP="00624C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14:paraId="7AE0B4F9" w14:textId="121877A1" w:rsidR="005552F9" w:rsidRDefault="00EB67D5" w:rsidP="00624C96">
      <w:pPr>
        <w:jc w:val="center"/>
        <w:rPr>
          <w:sz w:val="20"/>
          <w:szCs w:val="20"/>
          <w:lang w:val="en-US"/>
        </w:rPr>
      </w:pPr>
      <w:proofErr w:type="spellStart"/>
      <w:r w:rsidRPr="00EB67D5">
        <w:rPr>
          <w:sz w:val="20"/>
          <w:szCs w:val="20"/>
          <w:vertAlign w:val="superscript"/>
          <w:lang w:val="en-US"/>
        </w:rPr>
        <w:t>c</w:t>
      </w:r>
      <w:r w:rsidRPr="00EB67D5">
        <w:rPr>
          <w:sz w:val="20"/>
          <w:szCs w:val="20"/>
          <w:lang w:val="en-US"/>
        </w:rPr>
        <w:t>Solvents</w:t>
      </w:r>
      <w:proofErr w:type="spellEnd"/>
      <w:r w:rsidRPr="00EB67D5">
        <w:rPr>
          <w:sz w:val="20"/>
          <w:szCs w:val="20"/>
          <w:lang w:val="en-US"/>
        </w:rPr>
        <w:t xml:space="preserve"> such as diglyme, THF, dioxane, toluene, or DMF</w:t>
      </w:r>
    </w:p>
    <w:p w14:paraId="220FFE7B" w14:textId="77777777" w:rsidR="00B3360A" w:rsidRDefault="00B3360A" w:rsidP="00B3360A">
      <w:pPr>
        <w:spacing w:line="480" w:lineRule="auto"/>
        <w:jc w:val="center"/>
        <w:rPr>
          <w:sz w:val="20"/>
          <w:szCs w:val="20"/>
          <w:lang w:val="en-US"/>
        </w:rPr>
      </w:pPr>
    </w:p>
    <w:p w14:paraId="26571DFA" w14:textId="2DD14EE5" w:rsidR="00B3360A" w:rsidRDefault="00B3360A" w:rsidP="009576E7">
      <w:pPr>
        <w:spacing w:line="480" w:lineRule="auto"/>
        <w:rPr>
          <w:lang w:val="en-US"/>
        </w:rPr>
      </w:pPr>
      <w:r>
        <w:rPr>
          <w:lang w:val="en-US"/>
        </w:rPr>
        <w:t xml:space="preserve">First, this experiment tested how varying the parameters of the reaction would affect the outcome of the product. </w:t>
      </w:r>
      <w:r w:rsidR="004119B8">
        <w:rPr>
          <w:lang w:val="en-US"/>
        </w:rPr>
        <w:t>The yield of 12 different variations was documented</w:t>
      </w:r>
      <w:r w:rsidR="00AD5806">
        <w:rPr>
          <w:lang w:val="en-US"/>
        </w:rPr>
        <w:t xml:space="preserve">, with the best yield (83%) </w:t>
      </w:r>
      <w:r w:rsidR="00D245D1">
        <w:rPr>
          <w:lang w:val="en-US"/>
        </w:rPr>
        <w:t xml:space="preserve">in the presence of 10 mol % </w:t>
      </w:r>
      <w:proofErr w:type="gramStart"/>
      <w:r w:rsidR="00D245D1">
        <w:rPr>
          <w:lang w:val="en-US"/>
        </w:rPr>
        <w:t>Pd</w:t>
      </w:r>
      <w:r w:rsidR="00DA6E86">
        <w:rPr>
          <w:lang w:val="en-US"/>
        </w:rPr>
        <w:t>(</w:t>
      </w:r>
      <w:proofErr w:type="gramEnd"/>
      <w:r w:rsidR="00DA6E86" w:rsidRPr="00E237C2">
        <w:rPr>
          <w:lang w:val="en-US"/>
        </w:rPr>
        <w:t>TFA)</w:t>
      </w:r>
      <w:r w:rsidR="00DA6E86" w:rsidRPr="00E237C2">
        <w:rPr>
          <w:vertAlign w:val="subscript"/>
          <w:lang w:val="en-US"/>
        </w:rPr>
        <w:t>2</w:t>
      </w:r>
      <w:r w:rsidR="00DA6E86" w:rsidRPr="00E237C2">
        <w:rPr>
          <w:lang w:val="en-US"/>
        </w:rPr>
        <w:t xml:space="preserve"> </w:t>
      </w:r>
      <w:r w:rsidR="00DA6E86" w:rsidRPr="00E237C2">
        <w:rPr>
          <w:sz w:val="18"/>
          <w:szCs w:val="18"/>
          <w:lang w:val="en-US"/>
        </w:rPr>
        <w:t xml:space="preserve">(Note: 10 mol % means </w:t>
      </w:r>
      <w:r w:rsidR="00BD52D0" w:rsidRPr="00E237C2">
        <w:rPr>
          <w:sz w:val="18"/>
          <w:szCs w:val="18"/>
          <w:lang w:val="en-US"/>
        </w:rPr>
        <w:t>10 mols of catalyst per 100 moles of our limiting reagent which is 1a)</w:t>
      </w:r>
      <w:r w:rsidR="00613120">
        <w:rPr>
          <w:sz w:val="18"/>
          <w:szCs w:val="18"/>
          <w:lang w:val="en-US"/>
        </w:rPr>
        <w:t xml:space="preserve">. </w:t>
      </w:r>
      <w:proofErr w:type="gramStart"/>
      <w:r w:rsidR="00340EF7">
        <w:rPr>
          <w:lang w:val="en-US"/>
        </w:rPr>
        <w:t>Pd(</w:t>
      </w:r>
      <w:proofErr w:type="gramEnd"/>
      <w:r w:rsidR="00340EF7">
        <w:rPr>
          <w:lang w:val="en-US"/>
        </w:rPr>
        <w:t xml:space="preserve">TFA)2 performed better than </w:t>
      </w:r>
      <w:proofErr w:type="gramStart"/>
      <w:r w:rsidR="00340EF7">
        <w:rPr>
          <w:lang w:val="en-US"/>
        </w:rPr>
        <w:t>Pd(</w:t>
      </w:r>
      <w:proofErr w:type="spellStart"/>
      <w:proofErr w:type="gramEnd"/>
      <w:r w:rsidR="00340EF7">
        <w:rPr>
          <w:lang w:val="en-US"/>
        </w:rPr>
        <w:t>OAc</w:t>
      </w:r>
      <w:proofErr w:type="spellEnd"/>
      <w:r w:rsidR="00340EF7">
        <w:rPr>
          <w:lang w:val="en-US"/>
        </w:rPr>
        <w:t>)2 possibly due to the electron withdrawing effect of TFA making the Pd</w:t>
      </w:r>
      <w:r w:rsidR="009B7620">
        <w:rPr>
          <w:lang w:val="en-US"/>
        </w:rPr>
        <w:t xml:space="preserve"> much more electrophilic.</w:t>
      </w:r>
      <w:r w:rsidR="00823519">
        <w:rPr>
          <w:lang w:val="en-US"/>
        </w:rPr>
        <w:t xml:space="preserve"> </w:t>
      </w:r>
      <w:r w:rsidR="00340EF7">
        <w:rPr>
          <w:lang w:val="en-US"/>
        </w:rPr>
        <w:t xml:space="preserve">3 </w:t>
      </w:r>
      <w:proofErr w:type="spellStart"/>
      <w:r w:rsidR="00823519">
        <w:rPr>
          <w:lang w:val="en-US"/>
        </w:rPr>
        <w:t>equiv</w:t>
      </w:r>
      <w:proofErr w:type="spellEnd"/>
      <w:r w:rsidR="00823519">
        <w:rPr>
          <w:lang w:val="en-US"/>
        </w:rPr>
        <w:t xml:space="preserve"> of (NH</w:t>
      </w:r>
      <w:r w:rsidR="00823519">
        <w:rPr>
          <w:vertAlign w:val="subscript"/>
          <w:lang w:val="en-US"/>
        </w:rPr>
        <w:t>4</w:t>
      </w:r>
      <w:r w:rsidR="00823519">
        <w:rPr>
          <w:lang w:val="en-US"/>
        </w:rPr>
        <w:t>)</w:t>
      </w:r>
      <w:r w:rsidR="00823519">
        <w:rPr>
          <w:vertAlign w:val="subscript"/>
          <w:lang w:val="en-US"/>
        </w:rPr>
        <w:t>2</w:t>
      </w:r>
      <w:r w:rsidR="00823519">
        <w:rPr>
          <w:lang w:val="en-US"/>
        </w:rPr>
        <w:t>S</w:t>
      </w:r>
      <w:r w:rsidR="00823519">
        <w:rPr>
          <w:vertAlign w:val="subscript"/>
          <w:lang w:val="en-US"/>
        </w:rPr>
        <w:t>2</w:t>
      </w:r>
      <w:r w:rsidR="00823519">
        <w:rPr>
          <w:lang w:val="en-US"/>
        </w:rPr>
        <w:t>O</w:t>
      </w:r>
      <w:r w:rsidR="00823519">
        <w:rPr>
          <w:vertAlign w:val="subscript"/>
          <w:lang w:val="en-US"/>
        </w:rPr>
        <w:t>8</w:t>
      </w:r>
      <w:r w:rsidR="00823519">
        <w:rPr>
          <w:lang w:val="en-US"/>
        </w:rPr>
        <w:t xml:space="preserve"> in </w:t>
      </w:r>
      <w:r w:rsidR="00BA5582">
        <w:rPr>
          <w:lang w:val="en-US"/>
        </w:rPr>
        <w:t>1,2-dichloroethane (DCE) at 80°C for 24hrs</w:t>
      </w:r>
      <w:r w:rsidR="005717EB">
        <w:rPr>
          <w:lang w:val="en-US"/>
        </w:rPr>
        <w:t xml:space="preserve">. </w:t>
      </w:r>
      <w:r w:rsidR="00813CA0">
        <w:rPr>
          <w:lang w:val="en-US"/>
        </w:rPr>
        <w:t>Attempting</w:t>
      </w:r>
      <w:r w:rsidR="009576E7">
        <w:rPr>
          <w:lang w:val="en-US"/>
        </w:rPr>
        <w:t xml:space="preserve"> further optimization using other solvents</w:t>
      </w:r>
      <w:r w:rsidR="00813CA0">
        <w:rPr>
          <w:lang w:val="en-US"/>
        </w:rPr>
        <w:t xml:space="preserve"> (entry 5) proved ineffective, however, </w:t>
      </w:r>
      <w:r w:rsidR="00E5373D">
        <w:rPr>
          <w:lang w:val="en-US"/>
        </w:rPr>
        <w:t>the addition of an organic acid seemed to have a slight effect (entry</w:t>
      </w:r>
      <w:r w:rsidR="004E0305">
        <w:rPr>
          <w:lang w:val="en-US"/>
        </w:rPr>
        <w:t xml:space="preserve"> 8). </w:t>
      </w:r>
      <w:r w:rsidR="00F17DFD">
        <w:rPr>
          <w:lang w:val="en-US"/>
        </w:rPr>
        <w:t xml:space="preserve">Entry 12 was used to help support the idea of a radical intermediate as </w:t>
      </w:r>
      <w:r w:rsidR="0095422C">
        <w:rPr>
          <w:lang w:val="en-US"/>
        </w:rPr>
        <w:t>2,2,6,6-tetramethylpiperidin-1-oxyl (TEMPO) is a radical inhibitor.</w:t>
      </w:r>
      <w:r w:rsidR="006C248C">
        <w:rPr>
          <w:lang w:val="en-US"/>
        </w:rPr>
        <w:t xml:space="preserve"> </w:t>
      </w:r>
    </w:p>
    <w:p w14:paraId="37CBF709" w14:textId="779185AC" w:rsidR="001A4199" w:rsidRDefault="00376B2E" w:rsidP="008129F5">
      <w:pPr>
        <w:keepNext/>
        <w:spacing w:line="480" w:lineRule="auto"/>
        <w:rPr>
          <w:noProof/>
        </w:rPr>
      </w:pPr>
      <w:r w:rsidRPr="00376B2E">
        <w:rPr>
          <w:noProof/>
        </w:rPr>
        <w:lastRenderedPageBreak/>
        <w:t xml:space="preserve"> </w:t>
      </w:r>
    </w:p>
    <w:p w14:paraId="29ACF045" w14:textId="6EFE7CF2" w:rsidR="00B04E63" w:rsidRDefault="00B04E63" w:rsidP="00B04E63">
      <w:pPr>
        <w:keepNext/>
        <w:spacing w:line="480" w:lineRule="auto"/>
        <w:jc w:val="center"/>
      </w:pPr>
      <w:r w:rsidRPr="00B04E63">
        <w:rPr>
          <w:noProof/>
        </w:rPr>
        <w:drawing>
          <wp:inline distT="0" distB="0" distL="0" distR="0" wp14:anchorId="340C4A46" wp14:editId="6846D4D5">
            <wp:extent cx="4191325" cy="6010814"/>
            <wp:effectExtent l="4762" t="0" r="4763" b="4762"/>
            <wp:docPr id="1267469568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D048C2C8-023B-48C4-B258-0311A3C466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46956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210384" cy="6038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7551D" w14:textId="36BBBE54" w:rsidR="006C248C" w:rsidRDefault="001A4199" w:rsidP="001A4199">
      <w:pPr>
        <w:pStyle w:val="Caption"/>
        <w:jc w:val="center"/>
        <w:rPr>
          <w:b/>
          <w:bCs/>
        </w:rPr>
      </w:pPr>
      <w:r>
        <w:t xml:space="preserve">Figure </w:t>
      </w:r>
      <w:fldSimple w:instr=" SEQ Figure \* ARABIC ">
        <w:r w:rsidR="000F57DE">
          <w:rPr>
            <w:noProof/>
          </w:rPr>
          <w:t>3</w:t>
        </w:r>
      </w:fldSimple>
      <w:r>
        <w:t xml:space="preserve">. Yields of various </w:t>
      </w:r>
      <w:proofErr w:type="spellStart"/>
      <w:r>
        <w:t>arylglyoxylic</w:t>
      </w:r>
      <w:proofErr w:type="spellEnd"/>
      <w:r>
        <w:t xml:space="preserve"> acids</w:t>
      </w:r>
      <w:r w:rsidR="009D4700">
        <w:t xml:space="preserve"> (left) and various tertiary benzamides (right)</w:t>
      </w:r>
    </w:p>
    <w:p w14:paraId="0239EB79" w14:textId="0EBB4140" w:rsidR="00470F0D" w:rsidRDefault="001A4199" w:rsidP="00FC2151">
      <w:r>
        <w:t>Above in figure 3</w:t>
      </w:r>
      <w:r w:rsidR="003B4F5A">
        <w:t xml:space="preserve">, the various products and yields of </w:t>
      </w:r>
      <w:proofErr w:type="spellStart"/>
      <w:r w:rsidR="003B4F5A">
        <w:t>arylglyoxylic</w:t>
      </w:r>
      <w:proofErr w:type="spellEnd"/>
      <w:r w:rsidR="003B4F5A">
        <w:t xml:space="preserve"> acids </w:t>
      </w:r>
      <w:r w:rsidR="00865AD1">
        <w:t xml:space="preserve">synthesized from ortho-acylation of </w:t>
      </w:r>
      <w:r w:rsidR="00865AD1" w:rsidRPr="008521A4">
        <w:rPr>
          <w:b/>
          <w:bCs/>
        </w:rPr>
        <w:t>1a</w:t>
      </w:r>
      <w:r w:rsidR="00865AD1">
        <w:t xml:space="preserve"> under the optimized conditions from table 1. </w:t>
      </w:r>
      <w:r w:rsidR="00394B7E">
        <w:t>While m</w:t>
      </w:r>
      <w:r w:rsidR="00586E24">
        <w:t>e</w:t>
      </w:r>
      <w:r w:rsidR="00394B7E">
        <w:t>ta and para positions had no problems reacting under the optimized conditions,</w:t>
      </w:r>
      <w:r w:rsidR="008521A4">
        <w:t xml:space="preserve"> tertiary benzamides that were ortho-</w:t>
      </w:r>
      <w:r w:rsidR="00586E24">
        <w:t>substituted</w:t>
      </w:r>
      <w:r w:rsidR="008521A4">
        <w:t xml:space="preserve"> did not react with </w:t>
      </w:r>
      <w:proofErr w:type="spellStart"/>
      <w:r w:rsidR="008521A4">
        <w:t>phenylglyoxylic</w:t>
      </w:r>
      <w:proofErr w:type="spellEnd"/>
      <w:r w:rsidR="008521A4">
        <w:t xml:space="preserve"> acid </w:t>
      </w:r>
      <w:r w:rsidR="008521A4" w:rsidRPr="008521A4">
        <w:rPr>
          <w:b/>
          <w:bCs/>
        </w:rPr>
        <w:t>2a</w:t>
      </w:r>
      <w:r w:rsidR="008521A4">
        <w:t xml:space="preserve"> due to </w:t>
      </w:r>
      <w:r w:rsidR="00854ED0">
        <w:t>steric</w:t>
      </w:r>
      <w:r w:rsidR="008521A4">
        <w:t xml:space="preserve"> (methyl group) or electronic (</w:t>
      </w:r>
      <w:proofErr w:type="spellStart"/>
      <w:r w:rsidR="008521A4">
        <w:t>fluoro</w:t>
      </w:r>
      <w:proofErr w:type="spellEnd"/>
      <w:r w:rsidR="008521A4">
        <w:t xml:space="preserve"> group) effects</w:t>
      </w:r>
      <w:r w:rsidR="00DF74D6">
        <w:t>.</w:t>
      </w:r>
      <w:r w:rsidR="00FC2151">
        <w:t xml:space="preserve"> </w:t>
      </w:r>
      <w:r w:rsidR="00D26870">
        <w:t>Finally, a noteworthy</w:t>
      </w:r>
      <w:r w:rsidR="00BC55F9">
        <w:t xml:space="preserve"> </w:t>
      </w:r>
      <w:r w:rsidR="00BC55F9">
        <w:t>sterically unhindered</w:t>
      </w:r>
      <w:r w:rsidR="00D26870">
        <w:t xml:space="preserve"> </w:t>
      </w:r>
      <w:proofErr w:type="spellStart"/>
      <w:r w:rsidR="00D26870">
        <w:t>regioisomer</w:t>
      </w:r>
      <w:proofErr w:type="spellEnd"/>
      <w:r w:rsidR="00BC55F9">
        <w:t xml:space="preserve">, 3m, was produced by </w:t>
      </w:r>
      <w:r w:rsidR="00470F0D">
        <w:t>1d</w:t>
      </w:r>
      <w:r w:rsidR="00BC55F9">
        <w:t xml:space="preserve"> (a meta substituted tertiary benzamide). This </w:t>
      </w:r>
      <w:r w:rsidR="00226BC9">
        <w:t xml:space="preserve">unhindered regioselectivity means it only went to the ortho </w:t>
      </w:r>
      <w:r w:rsidR="00B54287">
        <w:t xml:space="preserve">position </w:t>
      </w:r>
      <w:r w:rsidR="00226BC9">
        <w:t xml:space="preserve">that was furthest from the </w:t>
      </w:r>
      <w:proofErr w:type="spellStart"/>
      <w:r w:rsidR="00754868">
        <w:t>MeO</w:t>
      </w:r>
      <w:proofErr w:type="spellEnd"/>
      <w:r w:rsidR="00BC55F9">
        <w:t xml:space="preserve"> instead of in between the amide and </w:t>
      </w:r>
      <w:proofErr w:type="spellStart"/>
      <w:r w:rsidR="00BC55F9">
        <w:t>MeO</w:t>
      </w:r>
      <w:proofErr w:type="spellEnd"/>
      <w:r w:rsidR="00BC55F9">
        <w:t>. This gives a viable method for synthesis of regioselective products needed in other applications.</w:t>
      </w:r>
    </w:p>
    <w:p w14:paraId="12FEAB6A" w14:textId="77777777" w:rsidR="006D672C" w:rsidRDefault="006D672C" w:rsidP="006D672C">
      <w:pPr>
        <w:keepNext/>
        <w:jc w:val="center"/>
      </w:pPr>
      <w:r w:rsidRPr="006D672C">
        <w:rPr>
          <w:noProof/>
        </w:rPr>
        <w:lastRenderedPageBreak/>
        <w:drawing>
          <wp:inline distT="0" distB="0" distL="0" distR="0" wp14:anchorId="167500EE" wp14:editId="1632C056">
            <wp:extent cx="3305175" cy="4047557"/>
            <wp:effectExtent l="0" t="0" r="0" b="0"/>
            <wp:docPr id="1434538754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ACAC953C-32AF-4F4E-8445-EABED81330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53875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10253" cy="405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36F40" w14:textId="6F7988AA" w:rsidR="0071732F" w:rsidRDefault="006D672C" w:rsidP="006D672C">
      <w:pPr>
        <w:pStyle w:val="Caption"/>
        <w:jc w:val="center"/>
      </w:pPr>
      <w:r>
        <w:t xml:space="preserve">Figure </w:t>
      </w:r>
      <w:fldSimple w:instr=" SEQ Figure \* ARABIC ">
        <w:r w:rsidR="000F57DE">
          <w:rPr>
            <w:noProof/>
          </w:rPr>
          <w:t>4</w:t>
        </w:r>
      </w:fldSimple>
      <w:r>
        <w:t>. Control experiments</w:t>
      </w:r>
    </w:p>
    <w:p w14:paraId="39159958" w14:textId="54565023" w:rsidR="00733147" w:rsidRDefault="006D672C" w:rsidP="00B80A74">
      <w:pPr>
        <w:spacing w:line="480" w:lineRule="auto"/>
      </w:pPr>
      <w:r>
        <w:t xml:space="preserve">Above we can see the control experiments used to help identify the possible pathway of these </w:t>
      </w:r>
      <w:proofErr w:type="spellStart"/>
      <w:r w:rsidR="00264185">
        <w:t>acylations</w:t>
      </w:r>
      <w:proofErr w:type="spellEnd"/>
      <w:r w:rsidR="00264185">
        <w:t xml:space="preserve">. 1e going </w:t>
      </w:r>
      <w:r w:rsidR="003A375B">
        <w:t xml:space="preserve">to </w:t>
      </w:r>
      <w:r w:rsidR="00D92000">
        <w:t>1e</w:t>
      </w:r>
      <w:r w:rsidR="003A375B">
        <w:t>/[D]-1e</w:t>
      </w:r>
      <w:r w:rsidR="00D92000">
        <w:t xml:space="preserve"> </w:t>
      </w:r>
      <w:r w:rsidR="003A375B">
        <w:t xml:space="preserve">in a 7:3 mixture </w:t>
      </w:r>
      <w:r w:rsidR="00D92000">
        <w:t>proved, through D</w:t>
      </w:r>
      <w:r w:rsidR="00D92000">
        <w:rPr>
          <w:vertAlign w:val="subscript"/>
        </w:rPr>
        <w:t>2</w:t>
      </w:r>
      <w:r w:rsidR="00D92000">
        <w:t>O exchange</w:t>
      </w:r>
      <w:r w:rsidR="009115B9">
        <w:t>,</w:t>
      </w:r>
      <w:r w:rsidR="00D92000">
        <w:t xml:space="preserve"> that the </w:t>
      </w:r>
      <w:r w:rsidR="009115B9">
        <w:t>ortho position was w</w:t>
      </w:r>
      <w:r w:rsidR="00E237C2">
        <w:t>h</w:t>
      </w:r>
      <w:r w:rsidR="009115B9">
        <w:t xml:space="preserve">ere palladation could occur and that it was reversible. </w:t>
      </w:r>
      <w:r w:rsidR="0040051C">
        <w:t xml:space="preserve">Next, coordination with oxygen vs nitrogen was tested using groups that excluded one of the </w:t>
      </w:r>
      <w:r w:rsidR="0012291A">
        <w:t>elements</w:t>
      </w:r>
      <w:r w:rsidR="0040051C">
        <w:t xml:space="preserve">. With no nitrogen present, 1o was found to </w:t>
      </w:r>
      <w:r w:rsidR="0012291A">
        <w:t xml:space="preserve">not react with 2a, thus confirming the nitrogen group coordinated with palladium. </w:t>
      </w:r>
      <w:r w:rsidR="00936FB0" w:rsidRPr="00E237C2">
        <w:t xml:space="preserve">This seems to have a similar effect in our experiment, where our added nitrogen group may help coordinate the </w:t>
      </w:r>
      <w:r w:rsidR="00E1075D" w:rsidRPr="00E237C2">
        <w:t>attachment of t-Bu</w:t>
      </w:r>
      <w:r w:rsidR="00C438BC" w:rsidRPr="00E237C2">
        <w:t>Li to the ortho methyl group</w:t>
      </w:r>
      <w:r w:rsidR="00C438BC">
        <w:t>.</w:t>
      </w:r>
      <w:r w:rsidR="00E237C2">
        <w:t xml:space="preserve"> </w:t>
      </w:r>
      <w:r w:rsidR="003E6758">
        <w:t>Additionally, when the oxygen was not prese</w:t>
      </w:r>
      <w:r w:rsidR="00B06660">
        <w:t xml:space="preserve">nt, only the nitrogen group (1p), we can see addition of </w:t>
      </w:r>
      <w:r w:rsidR="00164B6C">
        <w:t>the acyl group at both ortho position</w:t>
      </w:r>
      <w:r w:rsidR="00D2726C">
        <w:t>s</w:t>
      </w:r>
      <w:r w:rsidR="00164B6C">
        <w:t xml:space="preserve">. This </w:t>
      </w:r>
      <w:r w:rsidR="00F37528">
        <w:t xml:space="preserve">leads to confirmation that </w:t>
      </w:r>
      <w:r w:rsidR="00EE66CE">
        <w:t>the amide</w:t>
      </w:r>
      <w:r w:rsidR="00301ED0">
        <w:t xml:space="preserve"> group locks the conformation of the structure</w:t>
      </w:r>
      <w:r w:rsidR="00D2726C">
        <w:t xml:space="preserve"> and leads to acylation on the ortho position nearest to the nitrogen group</w:t>
      </w:r>
      <w:r w:rsidR="00F67CD5">
        <w:t xml:space="preserve">. This also could have relation to our laboratory </w:t>
      </w:r>
      <w:r w:rsidR="00FB748E">
        <w:t xml:space="preserve">experiment wherein the amide group directs the addition to the </w:t>
      </w:r>
      <w:r w:rsidR="00FB748E">
        <w:lastRenderedPageBreak/>
        <w:t>lateral ortho-methyl group</w:t>
      </w:r>
      <w:r w:rsidR="00916094">
        <w:t xml:space="preserve"> through not only the nitrogen, but also through </w:t>
      </w:r>
      <w:r w:rsidR="001302AB">
        <w:t>the conformational locking due to the amide.</w:t>
      </w:r>
      <w:r w:rsidR="00916094">
        <w:t xml:space="preserve"> </w:t>
      </w:r>
      <w:r w:rsidR="00FB748E">
        <w:t xml:space="preserve"> </w:t>
      </w:r>
      <w:r w:rsidR="000F7D7C">
        <w:t xml:space="preserve">Steric </w:t>
      </w:r>
      <w:r w:rsidR="00DB0BFC">
        <w:t>hindrance</w:t>
      </w:r>
      <w:r w:rsidR="000F7D7C">
        <w:t xml:space="preserve"> was observed to have an effect as well as seen in </w:t>
      </w:r>
      <w:r w:rsidR="00C31F53">
        <w:t>1q</w:t>
      </w:r>
      <w:r w:rsidR="00DB0BFC">
        <w:t xml:space="preserve"> and 1r. 1s </w:t>
      </w:r>
      <w:r w:rsidR="007F74B7">
        <w:t xml:space="preserve">seemed to reduce coordination possibilities with the nitrogen as the acetyl group reduced electron density. Finally, </w:t>
      </w:r>
      <w:r w:rsidR="00111102">
        <w:t xml:space="preserve">since TEMPO was able to </w:t>
      </w:r>
      <w:r w:rsidR="0077605B">
        <w:t>inhibit the reaction, it was suggested that a radical must be present</w:t>
      </w:r>
      <w:r w:rsidR="006761C2">
        <w:t xml:space="preserve"> in the intermediate. Testing with an alternat</w:t>
      </w:r>
      <w:r w:rsidR="00856A19">
        <w:t>e acyl source, 2m, yielded 3a which was then isolated</w:t>
      </w:r>
      <w:r w:rsidR="00733147">
        <w:t xml:space="preserve"> thus suggesting a radical formation in the reaction.</w:t>
      </w:r>
    </w:p>
    <w:p w14:paraId="3B93A05D" w14:textId="4CD588C6" w:rsidR="00733147" w:rsidRDefault="00733147" w:rsidP="0071732F">
      <w:r>
        <w:t>With all of this in mind, the proposed synthesis mechanism was as follows:</w:t>
      </w:r>
    </w:p>
    <w:p w14:paraId="44E3490C" w14:textId="77777777" w:rsidR="000F57DE" w:rsidRDefault="000F57DE" w:rsidP="000F57DE">
      <w:pPr>
        <w:keepNext/>
        <w:jc w:val="center"/>
      </w:pPr>
      <w:r w:rsidRPr="000F57DE">
        <w:rPr>
          <w:noProof/>
        </w:rPr>
        <w:drawing>
          <wp:inline distT="0" distB="0" distL="0" distR="0" wp14:anchorId="50232278" wp14:editId="6EEE2816">
            <wp:extent cx="5068007" cy="3267531"/>
            <wp:effectExtent l="0" t="0" r="0" b="9525"/>
            <wp:docPr id="1195081289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7EC8CE7F-1EF1-483C-922D-72E20AC590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08128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8007" cy="326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C575A" w14:textId="5902E4CC" w:rsidR="00733147" w:rsidRDefault="000F57DE" w:rsidP="000F57DE">
      <w:pPr>
        <w:pStyle w:val="Caption"/>
        <w:jc w:val="center"/>
      </w:pPr>
      <w:r>
        <w:t xml:space="preserve">Figure </w:t>
      </w:r>
      <w:fldSimple w:instr=" SEQ Figure \* ARABIC ">
        <w:r>
          <w:rPr>
            <w:noProof/>
          </w:rPr>
          <w:t>5</w:t>
        </w:r>
      </w:fldSimple>
      <w:r>
        <w:t>. Proposed Mechanism</w:t>
      </w:r>
    </w:p>
    <w:p w14:paraId="0CEB0508" w14:textId="77777777" w:rsidR="000F57DE" w:rsidRDefault="000F57DE" w:rsidP="000F57DE"/>
    <w:p w14:paraId="299C1003" w14:textId="77777777" w:rsidR="00E92F30" w:rsidRDefault="00E92F30" w:rsidP="000F57DE"/>
    <w:p w14:paraId="365ECA4D" w14:textId="77777777" w:rsidR="00074414" w:rsidRDefault="00074414" w:rsidP="000F57DE"/>
    <w:p w14:paraId="7384EB84" w14:textId="77777777" w:rsidR="00074414" w:rsidRDefault="00074414" w:rsidP="000F57DE"/>
    <w:p w14:paraId="7C000CDD" w14:textId="77777777" w:rsidR="00074414" w:rsidRDefault="00074414" w:rsidP="000F57DE"/>
    <w:p w14:paraId="2AF50DD9" w14:textId="77777777" w:rsidR="00074414" w:rsidRDefault="00074414" w:rsidP="000F57DE"/>
    <w:p w14:paraId="61C96883" w14:textId="77777777" w:rsidR="00E92F30" w:rsidRDefault="00E92F30" w:rsidP="000F57DE"/>
    <w:p w14:paraId="5D8EB129" w14:textId="012BCE34" w:rsidR="00E92F30" w:rsidRDefault="00E92F30" w:rsidP="00E92F30">
      <w:pPr>
        <w:pStyle w:val="Heading2"/>
      </w:pPr>
      <w:r>
        <w:lastRenderedPageBreak/>
        <w:t>Reference(s)</w:t>
      </w:r>
    </w:p>
    <w:p w14:paraId="64D6D5F2" w14:textId="06CAE09D" w:rsidR="00E92F30" w:rsidRDefault="00E92F30" w:rsidP="00E92F30">
      <w:pPr>
        <w:pStyle w:val="ListParagraph"/>
        <w:numPr>
          <w:ilvl w:val="0"/>
          <w:numId w:val="1"/>
        </w:numPr>
      </w:pPr>
      <w:r w:rsidRPr="00E92F30">
        <w:t xml:space="preserve">Laha, J. K.; Patel, K. V.; Sharma, S. Palladium-Catalyzed Decarboxylative Ortho-Acylation of Tertiary Benzamides with </w:t>
      </w:r>
      <w:proofErr w:type="spellStart"/>
      <w:r w:rsidRPr="00E92F30">
        <w:t>Arylglyoxylic</w:t>
      </w:r>
      <w:proofErr w:type="spellEnd"/>
      <w:r w:rsidRPr="00E92F30">
        <w:t xml:space="preserve"> Acids. </w:t>
      </w:r>
      <w:r w:rsidRPr="00E92F30">
        <w:rPr>
          <w:i/>
          <w:iCs/>
        </w:rPr>
        <w:t>ACS Omega</w:t>
      </w:r>
      <w:r w:rsidRPr="00E92F30">
        <w:t> </w:t>
      </w:r>
      <w:r w:rsidRPr="00E92F30">
        <w:rPr>
          <w:b/>
          <w:bCs/>
        </w:rPr>
        <w:t>2017</w:t>
      </w:r>
      <w:r w:rsidRPr="00E92F30">
        <w:t>, </w:t>
      </w:r>
      <w:r w:rsidRPr="00E92F30">
        <w:rPr>
          <w:i/>
          <w:iCs/>
        </w:rPr>
        <w:t>2</w:t>
      </w:r>
      <w:r w:rsidRPr="00E92F30">
        <w:t xml:space="preserve"> (7), 3806–3815. </w:t>
      </w:r>
      <w:hyperlink r:id="rId12" w:history="1">
        <w:r w:rsidRPr="00753352">
          <w:rPr>
            <w:rStyle w:val="Hyperlink"/>
          </w:rPr>
          <w:t>https://doi.org/10.1021/acsomega.7b00717</w:t>
        </w:r>
      </w:hyperlink>
    </w:p>
    <w:p w14:paraId="65AE3AD2" w14:textId="77777777" w:rsidR="00E92F30" w:rsidRPr="00E92F30" w:rsidRDefault="00E92F30" w:rsidP="00E3181D">
      <w:pPr>
        <w:ind w:left="360"/>
      </w:pPr>
    </w:p>
    <w:p w14:paraId="20DA9682" w14:textId="77777777" w:rsidR="00E92F30" w:rsidRPr="00E92F30" w:rsidRDefault="00E92F30" w:rsidP="00E92F30">
      <w:r w:rsidRPr="00E92F30">
        <w:t>‌</w:t>
      </w:r>
    </w:p>
    <w:p w14:paraId="71F79D98" w14:textId="77777777" w:rsidR="00E92F30" w:rsidRPr="00E92F30" w:rsidRDefault="00E92F30" w:rsidP="00E92F30"/>
    <w:sectPr w:rsidR="00E92F30" w:rsidRPr="00E92F30" w:rsidSect="006C248C">
      <w:footerReference w:type="default" r:id="rId13"/>
      <w:footerReference w:type="first" r:id="rId14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912D7" w14:textId="77777777" w:rsidR="00073E14" w:rsidRDefault="00073E14" w:rsidP="006C248C">
      <w:pPr>
        <w:spacing w:after="0" w:line="240" w:lineRule="auto"/>
      </w:pPr>
      <w:r>
        <w:separator/>
      </w:r>
    </w:p>
  </w:endnote>
  <w:endnote w:type="continuationSeparator" w:id="0">
    <w:p w14:paraId="37663E31" w14:textId="77777777" w:rsidR="00073E14" w:rsidRDefault="00073E14" w:rsidP="006C2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A1774" w14:textId="77777777" w:rsidR="006C248C" w:rsidRDefault="006C248C">
    <w:pPr>
      <w:pStyle w:val="Footer"/>
      <w:pBdr>
        <w:top w:val="single" w:sz="4" w:space="8" w:color="156082" w:themeColor="accent1"/>
      </w:pBdr>
      <w:tabs>
        <w:tab w:val="clear" w:pos="4680"/>
        <w:tab w:val="clear" w:pos="9360"/>
      </w:tabs>
      <w:spacing w:before="360"/>
      <w:contextualSpacing/>
      <w:jc w:val="right"/>
      <w:rPr>
        <w:noProof/>
        <w:color w:val="404040" w:themeColor="text1" w:themeTint="BF"/>
      </w:rPr>
    </w:pP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>
      <w:rPr>
        <w:noProof/>
        <w:color w:val="404040" w:themeColor="text1" w:themeTint="BF"/>
      </w:rPr>
      <w:t>2</w:t>
    </w:r>
    <w:r>
      <w:rPr>
        <w:noProof/>
        <w:color w:val="404040" w:themeColor="text1" w:themeTint="BF"/>
      </w:rPr>
      <w:fldChar w:fldCharType="end"/>
    </w:r>
  </w:p>
  <w:p w14:paraId="14626AA0" w14:textId="77777777" w:rsidR="006C248C" w:rsidRDefault="006C24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487AD" w14:textId="77777777" w:rsidR="006C248C" w:rsidRDefault="006C248C">
    <w:pPr>
      <w:pStyle w:val="Footer"/>
      <w:jc w:val="right"/>
    </w:pPr>
  </w:p>
  <w:p w14:paraId="5675CE77" w14:textId="77777777" w:rsidR="006C248C" w:rsidRDefault="006C2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73E68" w14:textId="77777777" w:rsidR="00073E14" w:rsidRDefault="00073E14" w:rsidP="006C248C">
      <w:pPr>
        <w:spacing w:after="0" w:line="240" w:lineRule="auto"/>
      </w:pPr>
      <w:r>
        <w:separator/>
      </w:r>
    </w:p>
  </w:footnote>
  <w:footnote w:type="continuationSeparator" w:id="0">
    <w:p w14:paraId="3ED042E3" w14:textId="77777777" w:rsidR="00073E14" w:rsidRDefault="00073E14" w:rsidP="006C2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D5BB1"/>
    <w:multiLevelType w:val="hybridMultilevel"/>
    <w:tmpl w:val="DF6CAC50"/>
    <w:lvl w:ilvl="0" w:tplc="AD0295DE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D219A"/>
    <w:multiLevelType w:val="hybridMultilevel"/>
    <w:tmpl w:val="201C13F2"/>
    <w:lvl w:ilvl="0" w:tplc="C7129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005749">
    <w:abstractNumId w:val="1"/>
  </w:num>
  <w:num w:numId="2" w16cid:durableId="417989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4E2"/>
    <w:rsid w:val="00011F0E"/>
    <w:rsid w:val="00073E14"/>
    <w:rsid w:val="00074414"/>
    <w:rsid w:val="000F57DE"/>
    <w:rsid w:val="000F7A26"/>
    <w:rsid w:val="000F7D7C"/>
    <w:rsid w:val="00111102"/>
    <w:rsid w:val="00116792"/>
    <w:rsid w:val="0012291A"/>
    <w:rsid w:val="00124C94"/>
    <w:rsid w:val="001302AB"/>
    <w:rsid w:val="00131C0C"/>
    <w:rsid w:val="00164B6C"/>
    <w:rsid w:val="001716B4"/>
    <w:rsid w:val="0017684E"/>
    <w:rsid w:val="00182CF1"/>
    <w:rsid w:val="001A4199"/>
    <w:rsid w:val="001A7A1C"/>
    <w:rsid w:val="00220878"/>
    <w:rsid w:val="00226BC9"/>
    <w:rsid w:val="00236BDE"/>
    <w:rsid w:val="00264185"/>
    <w:rsid w:val="002D0EAF"/>
    <w:rsid w:val="002D6B12"/>
    <w:rsid w:val="002E7A89"/>
    <w:rsid w:val="002F0806"/>
    <w:rsid w:val="002F2AF2"/>
    <w:rsid w:val="002F773F"/>
    <w:rsid w:val="00301ED0"/>
    <w:rsid w:val="00340EF7"/>
    <w:rsid w:val="00352A7E"/>
    <w:rsid w:val="00374C4C"/>
    <w:rsid w:val="00376B2E"/>
    <w:rsid w:val="00394B7E"/>
    <w:rsid w:val="003A366A"/>
    <w:rsid w:val="003A375B"/>
    <w:rsid w:val="003B4F5A"/>
    <w:rsid w:val="003E09C8"/>
    <w:rsid w:val="003E0F90"/>
    <w:rsid w:val="003E6758"/>
    <w:rsid w:val="003F06B4"/>
    <w:rsid w:val="0040051C"/>
    <w:rsid w:val="004119B8"/>
    <w:rsid w:val="00441F08"/>
    <w:rsid w:val="0045077D"/>
    <w:rsid w:val="00455A7C"/>
    <w:rsid w:val="00470F0D"/>
    <w:rsid w:val="004A42E7"/>
    <w:rsid w:val="004C79F5"/>
    <w:rsid w:val="004D136D"/>
    <w:rsid w:val="004E0305"/>
    <w:rsid w:val="004E18C1"/>
    <w:rsid w:val="004F222D"/>
    <w:rsid w:val="00522FBF"/>
    <w:rsid w:val="005552F9"/>
    <w:rsid w:val="00570264"/>
    <w:rsid w:val="005705D5"/>
    <w:rsid w:val="005717EB"/>
    <w:rsid w:val="00586E24"/>
    <w:rsid w:val="005B5DAA"/>
    <w:rsid w:val="00613120"/>
    <w:rsid w:val="00624C96"/>
    <w:rsid w:val="00630D55"/>
    <w:rsid w:val="006555D8"/>
    <w:rsid w:val="0066643D"/>
    <w:rsid w:val="00670EFE"/>
    <w:rsid w:val="006761C2"/>
    <w:rsid w:val="00697208"/>
    <w:rsid w:val="006A2321"/>
    <w:rsid w:val="006A41D2"/>
    <w:rsid w:val="006C248C"/>
    <w:rsid w:val="006D672C"/>
    <w:rsid w:val="00711B8A"/>
    <w:rsid w:val="0071732F"/>
    <w:rsid w:val="00733147"/>
    <w:rsid w:val="00754868"/>
    <w:rsid w:val="0077605B"/>
    <w:rsid w:val="007F74B7"/>
    <w:rsid w:val="0080383F"/>
    <w:rsid w:val="008129F5"/>
    <w:rsid w:val="00813CA0"/>
    <w:rsid w:val="0082184A"/>
    <w:rsid w:val="00823519"/>
    <w:rsid w:val="00846D97"/>
    <w:rsid w:val="008521A4"/>
    <w:rsid w:val="00854ED0"/>
    <w:rsid w:val="00856A19"/>
    <w:rsid w:val="00862F51"/>
    <w:rsid w:val="00865AD1"/>
    <w:rsid w:val="008D5097"/>
    <w:rsid w:val="00900F2E"/>
    <w:rsid w:val="009028FB"/>
    <w:rsid w:val="00906FBD"/>
    <w:rsid w:val="009115B9"/>
    <w:rsid w:val="00916094"/>
    <w:rsid w:val="009244CF"/>
    <w:rsid w:val="009248F2"/>
    <w:rsid w:val="0092634B"/>
    <w:rsid w:val="00936FB0"/>
    <w:rsid w:val="0095422C"/>
    <w:rsid w:val="009576E7"/>
    <w:rsid w:val="00961853"/>
    <w:rsid w:val="009940B1"/>
    <w:rsid w:val="009A30AD"/>
    <w:rsid w:val="009B0371"/>
    <w:rsid w:val="009B7620"/>
    <w:rsid w:val="009D2F12"/>
    <w:rsid w:val="009D4700"/>
    <w:rsid w:val="00AD5806"/>
    <w:rsid w:val="00B04E63"/>
    <w:rsid w:val="00B06660"/>
    <w:rsid w:val="00B3360A"/>
    <w:rsid w:val="00B54287"/>
    <w:rsid w:val="00B71614"/>
    <w:rsid w:val="00B80A74"/>
    <w:rsid w:val="00B85AEB"/>
    <w:rsid w:val="00BA5582"/>
    <w:rsid w:val="00BB4550"/>
    <w:rsid w:val="00BC55F9"/>
    <w:rsid w:val="00BC73FC"/>
    <w:rsid w:val="00BD52D0"/>
    <w:rsid w:val="00C13523"/>
    <w:rsid w:val="00C209E1"/>
    <w:rsid w:val="00C31F53"/>
    <w:rsid w:val="00C4151B"/>
    <w:rsid w:val="00C438BC"/>
    <w:rsid w:val="00C9455A"/>
    <w:rsid w:val="00CA04E2"/>
    <w:rsid w:val="00CC378C"/>
    <w:rsid w:val="00CC6C36"/>
    <w:rsid w:val="00D245D1"/>
    <w:rsid w:val="00D26870"/>
    <w:rsid w:val="00D2726C"/>
    <w:rsid w:val="00D671C1"/>
    <w:rsid w:val="00D92000"/>
    <w:rsid w:val="00DA6E86"/>
    <w:rsid w:val="00DB0BFC"/>
    <w:rsid w:val="00DD1D7C"/>
    <w:rsid w:val="00DD7DE1"/>
    <w:rsid w:val="00DE73EE"/>
    <w:rsid w:val="00DF74D6"/>
    <w:rsid w:val="00E1075D"/>
    <w:rsid w:val="00E237C2"/>
    <w:rsid w:val="00E3181D"/>
    <w:rsid w:val="00E460F0"/>
    <w:rsid w:val="00E5373D"/>
    <w:rsid w:val="00E61A32"/>
    <w:rsid w:val="00E828C2"/>
    <w:rsid w:val="00E92F30"/>
    <w:rsid w:val="00EB67D5"/>
    <w:rsid w:val="00EE66CE"/>
    <w:rsid w:val="00F17DFD"/>
    <w:rsid w:val="00F37528"/>
    <w:rsid w:val="00F54FE1"/>
    <w:rsid w:val="00F67CD5"/>
    <w:rsid w:val="00F74E88"/>
    <w:rsid w:val="00FB748E"/>
    <w:rsid w:val="00FC2151"/>
    <w:rsid w:val="00FC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5ACD9"/>
  <w15:chartTrackingRefBased/>
  <w15:docId w15:val="{9B784E62-E587-4A1E-81E6-352EC64B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0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0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4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4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4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4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4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4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4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A04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4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4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4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4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4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4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4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4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4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4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4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4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4E2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92634B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leGrid">
    <w:name w:val="Table Grid"/>
    <w:basedOn w:val="TableNormal"/>
    <w:uiPriority w:val="39"/>
    <w:rsid w:val="00555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6A23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C2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48C"/>
  </w:style>
  <w:style w:type="paragraph" w:styleId="Footer">
    <w:name w:val="footer"/>
    <w:basedOn w:val="Normal"/>
    <w:link w:val="FooterChar"/>
    <w:uiPriority w:val="99"/>
    <w:unhideWhenUsed/>
    <w:qFormat/>
    <w:rsid w:val="006C2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48C"/>
  </w:style>
  <w:style w:type="character" w:styleId="Hyperlink">
    <w:name w:val="Hyperlink"/>
    <w:basedOn w:val="DefaultParagraphFont"/>
    <w:uiPriority w:val="99"/>
    <w:unhideWhenUsed/>
    <w:rsid w:val="00E92F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2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oi.org/10.1021/acsomega.7b0071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789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 Swanton</dc:creator>
  <cp:keywords/>
  <dc:description/>
  <cp:lastModifiedBy>Mason Swanton</cp:lastModifiedBy>
  <cp:revision>2</cp:revision>
  <dcterms:created xsi:type="dcterms:W3CDTF">2026-04-06T20:50:00Z</dcterms:created>
  <dcterms:modified xsi:type="dcterms:W3CDTF">2026-04-06T20:50:00Z</dcterms:modified>
</cp:coreProperties>
</file>