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45FD" w14:textId="77777777" w:rsidR="000A5DF5" w:rsidRDefault="00634416">
      <w:pPr>
        <w:tabs>
          <w:tab w:val="center" w:pos="4681"/>
          <w:tab w:val="right" w:pos="9364"/>
        </w:tabs>
        <w:spacing w:after="0" w:line="259" w:lineRule="auto"/>
        <w:ind w:left="-15" w:right="-13" w:firstLine="0"/>
      </w:pPr>
      <w:r>
        <w:rPr>
          <w:sz w:val="22"/>
        </w:rPr>
        <w:t xml:space="preserve">Mason Swanton </w:t>
      </w:r>
      <w:r>
        <w:rPr>
          <w:sz w:val="22"/>
        </w:rPr>
        <w:tab/>
        <w:t xml:space="preserve"> </w:t>
      </w:r>
      <w:r>
        <w:rPr>
          <w:sz w:val="22"/>
        </w:rPr>
        <w:tab/>
        <w:t xml:space="preserve">Literature assignment #1 </w:t>
      </w:r>
    </w:p>
    <w:p w14:paraId="2C53DABF" w14:textId="77777777" w:rsidR="000A5DF5" w:rsidRDefault="00634416">
      <w:pPr>
        <w:tabs>
          <w:tab w:val="center" w:pos="4681"/>
          <w:tab w:val="right" w:pos="9364"/>
        </w:tabs>
        <w:spacing w:after="0" w:line="259" w:lineRule="auto"/>
        <w:ind w:left="-15" w:right="-13" w:firstLine="0"/>
      </w:pPr>
      <w:r>
        <w:rPr>
          <w:sz w:val="22"/>
        </w:rPr>
        <w:t xml:space="preserve">T00246877 </w:t>
      </w:r>
      <w:r>
        <w:rPr>
          <w:sz w:val="22"/>
        </w:rPr>
        <w:tab/>
        <w:t xml:space="preserve"> </w:t>
      </w:r>
      <w:r>
        <w:rPr>
          <w:sz w:val="22"/>
        </w:rPr>
        <w:tab/>
        <w:t xml:space="preserve">Article #1 </w:t>
      </w:r>
    </w:p>
    <w:p w14:paraId="27FB9114" w14:textId="77777777" w:rsidR="000A5DF5" w:rsidRDefault="00634416">
      <w:pPr>
        <w:tabs>
          <w:tab w:val="center" w:pos="4681"/>
          <w:tab w:val="right" w:pos="9364"/>
        </w:tabs>
        <w:spacing w:after="0" w:line="259" w:lineRule="auto"/>
        <w:ind w:left="-15" w:right="-13" w:firstLine="0"/>
      </w:pPr>
      <w:r>
        <w:rPr>
          <w:sz w:val="22"/>
        </w:rPr>
        <w:t xml:space="preserve">Chem 3140 </w:t>
      </w:r>
      <w:r>
        <w:rPr>
          <w:sz w:val="22"/>
        </w:rPr>
        <w:tab/>
        <w:t xml:space="preserve"> </w:t>
      </w:r>
      <w:r>
        <w:rPr>
          <w:sz w:val="22"/>
        </w:rPr>
        <w:tab/>
        <w:t>March 24</w:t>
      </w:r>
      <w:r>
        <w:rPr>
          <w:sz w:val="20"/>
          <w:vertAlign w:val="superscript"/>
        </w:rPr>
        <w:t>th</w:t>
      </w:r>
      <w:r>
        <w:rPr>
          <w:sz w:val="22"/>
        </w:rPr>
        <w:t xml:space="preserve">, 2024 </w:t>
      </w:r>
    </w:p>
    <w:p w14:paraId="78F96EE0" w14:textId="77777777" w:rsidR="000A5DF5" w:rsidRDefault="00634416">
      <w:pPr>
        <w:spacing w:after="195" w:line="259" w:lineRule="auto"/>
        <w:ind w:left="0" w:firstLine="0"/>
      </w:pPr>
      <w:r>
        <w:rPr>
          <w:sz w:val="22"/>
        </w:rPr>
        <w:t xml:space="preserve"> </w:t>
      </w:r>
    </w:p>
    <w:p w14:paraId="141F7393" w14:textId="77777777" w:rsidR="000A5DF5" w:rsidRDefault="00634416">
      <w:pPr>
        <w:spacing w:after="2254" w:line="259" w:lineRule="auto"/>
        <w:ind w:left="0" w:firstLine="0"/>
      </w:pPr>
      <w:r>
        <w:t xml:space="preserve"> </w:t>
      </w:r>
      <w:r>
        <w:tab/>
        <w:t xml:space="preserve"> </w:t>
      </w:r>
    </w:p>
    <w:p w14:paraId="15A18CF8" w14:textId="77777777" w:rsidR="000A5DF5" w:rsidRDefault="00634416">
      <w:pPr>
        <w:spacing w:after="407" w:line="259" w:lineRule="auto"/>
        <w:ind w:left="926" w:firstLine="0"/>
      </w:pPr>
      <w:r>
        <w:rPr>
          <w:noProof/>
          <w:sz w:val="22"/>
        </w:rPr>
        <mc:AlternateContent>
          <mc:Choice Requires="wpg">
            <w:drawing>
              <wp:anchor distT="0" distB="0" distL="114300" distR="114300" simplePos="0" relativeHeight="251658240" behindDoc="0" locked="0" layoutInCell="1" allowOverlap="1" wp14:anchorId="38332D77" wp14:editId="1E63F9E9">
                <wp:simplePos x="0" y="0"/>
                <wp:positionH relativeFrom="column">
                  <wp:posOffset>588213</wp:posOffset>
                </wp:positionH>
                <wp:positionV relativeFrom="paragraph">
                  <wp:posOffset>-137316</wp:posOffset>
                </wp:positionV>
                <wp:extent cx="18288" cy="2778887"/>
                <wp:effectExtent l="0" t="0" r="0" b="0"/>
                <wp:wrapSquare wrapText="bothSides"/>
                <wp:docPr id="5712" name="Group 5712"/>
                <wp:cNvGraphicFramePr/>
                <a:graphic xmlns:a="http://schemas.openxmlformats.org/drawingml/2006/main">
                  <a:graphicData uri="http://schemas.microsoft.com/office/word/2010/wordprocessingGroup">
                    <wpg:wgp>
                      <wpg:cNvGrpSpPr/>
                      <wpg:grpSpPr>
                        <a:xfrm>
                          <a:off x="0" y="0"/>
                          <a:ext cx="18288" cy="2778887"/>
                          <a:chOff x="0" y="0"/>
                          <a:chExt cx="18288" cy="2778887"/>
                        </a:xfrm>
                      </wpg:grpSpPr>
                      <wps:wsp>
                        <wps:cNvPr id="6961" name="Shape 6961"/>
                        <wps:cNvSpPr/>
                        <wps:spPr>
                          <a:xfrm>
                            <a:off x="0" y="0"/>
                            <a:ext cx="18288" cy="137160"/>
                          </a:xfrm>
                          <a:custGeom>
                            <a:avLst/>
                            <a:gdLst/>
                            <a:ahLst/>
                            <a:cxnLst/>
                            <a:rect l="0" t="0" r="0" b="0"/>
                            <a:pathLst>
                              <a:path w="18288" h="137160">
                                <a:moveTo>
                                  <a:pt x="0" y="0"/>
                                </a:moveTo>
                                <a:lnTo>
                                  <a:pt x="18288" y="0"/>
                                </a:lnTo>
                                <a:lnTo>
                                  <a:pt x="18288" y="137160"/>
                                </a:lnTo>
                                <a:lnTo>
                                  <a:pt x="0" y="137160"/>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962" name="Shape 6962"/>
                        <wps:cNvSpPr/>
                        <wps:spPr>
                          <a:xfrm>
                            <a:off x="0" y="137236"/>
                            <a:ext cx="18288" cy="323393"/>
                          </a:xfrm>
                          <a:custGeom>
                            <a:avLst/>
                            <a:gdLst/>
                            <a:ahLst/>
                            <a:cxnLst/>
                            <a:rect l="0" t="0" r="0" b="0"/>
                            <a:pathLst>
                              <a:path w="18288" h="323393">
                                <a:moveTo>
                                  <a:pt x="0" y="0"/>
                                </a:moveTo>
                                <a:lnTo>
                                  <a:pt x="18288" y="0"/>
                                </a:lnTo>
                                <a:lnTo>
                                  <a:pt x="18288" y="323393"/>
                                </a:lnTo>
                                <a:lnTo>
                                  <a:pt x="0" y="323393"/>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963" name="Shape 6963"/>
                        <wps:cNvSpPr/>
                        <wps:spPr>
                          <a:xfrm>
                            <a:off x="0" y="460628"/>
                            <a:ext cx="18288" cy="1708404"/>
                          </a:xfrm>
                          <a:custGeom>
                            <a:avLst/>
                            <a:gdLst/>
                            <a:ahLst/>
                            <a:cxnLst/>
                            <a:rect l="0" t="0" r="0" b="0"/>
                            <a:pathLst>
                              <a:path w="18288" h="1708404">
                                <a:moveTo>
                                  <a:pt x="0" y="0"/>
                                </a:moveTo>
                                <a:lnTo>
                                  <a:pt x="18288" y="0"/>
                                </a:lnTo>
                                <a:lnTo>
                                  <a:pt x="18288" y="1708404"/>
                                </a:lnTo>
                                <a:lnTo>
                                  <a:pt x="0" y="1708404"/>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964" name="Shape 6964"/>
                        <wps:cNvSpPr/>
                        <wps:spPr>
                          <a:xfrm>
                            <a:off x="0" y="2169033"/>
                            <a:ext cx="18288" cy="137160"/>
                          </a:xfrm>
                          <a:custGeom>
                            <a:avLst/>
                            <a:gdLst/>
                            <a:ahLst/>
                            <a:cxnLst/>
                            <a:rect l="0" t="0" r="0" b="0"/>
                            <a:pathLst>
                              <a:path w="18288" h="137160">
                                <a:moveTo>
                                  <a:pt x="0" y="0"/>
                                </a:moveTo>
                                <a:lnTo>
                                  <a:pt x="18288" y="0"/>
                                </a:lnTo>
                                <a:lnTo>
                                  <a:pt x="18288" y="137160"/>
                                </a:lnTo>
                                <a:lnTo>
                                  <a:pt x="0" y="137160"/>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s:wsp>
                        <wps:cNvPr id="6965" name="Shape 6965"/>
                        <wps:cNvSpPr/>
                        <wps:spPr>
                          <a:xfrm>
                            <a:off x="0" y="2306142"/>
                            <a:ext cx="18288" cy="472745"/>
                          </a:xfrm>
                          <a:custGeom>
                            <a:avLst/>
                            <a:gdLst/>
                            <a:ahLst/>
                            <a:cxnLst/>
                            <a:rect l="0" t="0" r="0" b="0"/>
                            <a:pathLst>
                              <a:path w="18288" h="472745">
                                <a:moveTo>
                                  <a:pt x="0" y="0"/>
                                </a:moveTo>
                                <a:lnTo>
                                  <a:pt x="18288" y="0"/>
                                </a:lnTo>
                                <a:lnTo>
                                  <a:pt x="18288" y="472745"/>
                                </a:lnTo>
                                <a:lnTo>
                                  <a:pt x="0" y="472745"/>
                                </a:lnTo>
                                <a:lnTo>
                                  <a:pt x="0" y="0"/>
                                </a:lnTo>
                              </a:path>
                            </a:pathLst>
                          </a:custGeom>
                          <a:ln w="0" cap="flat">
                            <a:miter lim="127000"/>
                          </a:ln>
                        </wps:spPr>
                        <wps:style>
                          <a:lnRef idx="0">
                            <a:srgbClr val="000000">
                              <a:alpha val="0"/>
                            </a:srgbClr>
                          </a:lnRef>
                          <a:fillRef idx="1">
                            <a:srgbClr val="156082"/>
                          </a:fillRef>
                          <a:effectRef idx="0">
                            <a:scrgbClr r="0" g="0" b="0"/>
                          </a:effectRef>
                          <a:fontRef idx="none"/>
                        </wps:style>
                        <wps:bodyPr/>
                      </wps:wsp>
                    </wpg:wgp>
                  </a:graphicData>
                </a:graphic>
              </wp:anchor>
            </w:drawing>
          </mc:Choice>
          <mc:Fallback xmlns:a="http://schemas.openxmlformats.org/drawingml/2006/main">
            <w:pict>
              <v:group id="Group 5712" style="width:1.44pt;height:218.81pt;position:absolute;mso-position-horizontal-relative:text;mso-position-horizontal:absolute;margin-left:46.316pt;mso-position-vertical-relative:text;margin-top:-10.8124pt;" coordsize="182,27788">
                <v:shape id="Shape 6966" style="position:absolute;width:182;height:1371;left:0;top:0;" coordsize="18288,137160" path="m0,0l18288,0l18288,137160l0,137160l0,0">
                  <v:stroke weight="0pt" endcap="flat" joinstyle="miter" miterlimit="10" on="false" color="#000000" opacity="0"/>
                  <v:fill on="true" color="#156082"/>
                </v:shape>
                <v:shape id="Shape 6967" style="position:absolute;width:182;height:3233;left:0;top:1372;" coordsize="18288,323393" path="m0,0l18288,0l18288,323393l0,323393l0,0">
                  <v:stroke weight="0pt" endcap="flat" joinstyle="miter" miterlimit="10" on="false" color="#000000" opacity="0"/>
                  <v:fill on="true" color="#156082"/>
                </v:shape>
                <v:shape id="Shape 6968" style="position:absolute;width:182;height:17084;left:0;top:4606;" coordsize="18288,1708404" path="m0,0l18288,0l18288,1708404l0,1708404l0,0">
                  <v:stroke weight="0pt" endcap="flat" joinstyle="miter" miterlimit="10" on="false" color="#000000" opacity="0"/>
                  <v:fill on="true" color="#156082"/>
                </v:shape>
                <v:shape id="Shape 6969" style="position:absolute;width:182;height:1371;left:0;top:21690;" coordsize="18288,137160" path="m0,0l18288,0l18288,137160l0,137160l0,0">
                  <v:stroke weight="0pt" endcap="flat" joinstyle="miter" miterlimit="10" on="false" color="#000000" opacity="0"/>
                  <v:fill on="true" color="#156082"/>
                </v:shape>
                <v:shape id="Shape 6970" style="position:absolute;width:182;height:4727;left:0;top:23061;" coordsize="18288,472745" path="m0,0l18288,0l18288,472745l0,472745l0,0">
                  <v:stroke weight="0pt" endcap="flat" joinstyle="miter" miterlimit="10" on="false" color="#000000" opacity="0"/>
                  <v:fill on="true" color="#156082"/>
                </v:shape>
                <w10:wrap type="square"/>
              </v:group>
            </w:pict>
          </mc:Fallback>
        </mc:AlternateContent>
      </w:r>
      <w:r>
        <w:rPr>
          <w:color w:val="0F4761"/>
        </w:rPr>
        <w:t xml:space="preserve"> </w:t>
      </w:r>
    </w:p>
    <w:p w14:paraId="71A9D344" w14:textId="77777777" w:rsidR="000A5DF5" w:rsidRDefault="00634416">
      <w:pPr>
        <w:spacing w:after="1" w:line="216" w:lineRule="auto"/>
        <w:ind w:left="936"/>
      </w:pPr>
      <w:r>
        <w:rPr>
          <w:rFonts w:ascii="Arial" w:eastAsia="Arial" w:hAnsi="Arial" w:cs="Arial"/>
          <w:b/>
          <w:sz w:val="52"/>
        </w:rPr>
        <w:t xml:space="preserve">Characterizing the marine mammal exposome by </w:t>
      </w:r>
    </w:p>
    <w:p w14:paraId="1B1ADB5B" w14:textId="77777777" w:rsidR="000A5DF5" w:rsidRDefault="00634416">
      <w:pPr>
        <w:spacing w:after="1" w:line="216" w:lineRule="auto"/>
        <w:ind w:left="936"/>
      </w:pPr>
      <w:r>
        <w:rPr>
          <w:rFonts w:ascii="Arial" w:eastAsia="Arial" w:hAnsi="Arial" w:cs="Arial"/>
          <w:b/>
          <w:sz w:val="52"/>
        </w:rPr>
        <w:t>iceberg modeling, linking chemical analysis and in vitro bioassays</w:t>
      </w:r>
      <w:r>
        <w:rPr>
          <w:color w:val="156082"/>
          <w:sz w:val="52"/>
        </w:rPr>
        <w:t xml:space="preserve"> </w:t>
      </w:r>
    </w:p>
    <w:p w14:paraId="705DEB14" w14:textId="77777777" w:rsidR="000A5DF5" w:rsidRDefault="00634416">
      <w:pPr>
        <w:spacing w:after="1884" w:line="269" w:lineRule="auto"/>
        <w:ind w:left="926" w:right="563" w:firstLine="0"/>
      </w:pPr>
      <w:r>
        <w:rPr>
          <w:color w:val="54585A"/>
          <w:sz w:val="21"/>
        </w:rPr>
        <w:t xml:space="preserve">Eva B. Reiter, Beate I. Escher, Elisa Rojo-Nieto, Hannah Nolte, Ursula </w:t>
      </w:r>
      <w:proofErr w:type="spellStart"/>
      <w:r>
        <w:rPr>
          <w:color w:val="54585A"/>
          <w:sz w:val="21"/>
        </w:rPr>
        <w:t>Sieberte</w:t>
      </w:r>
      <w:proofErr w:type="spellEnd"/>
      <w:r>
        <w:rPr>
          <w:color w:val="54585A"/>
          <w:sz w:val="21"/>
        </w:rPr>
        <w:t xml:space="preserve"> and Annika Jahnke</w:t>
      </w:r>
      <w:r>
        <w:rPr>
          <w:color w:val="0F4761"/>
        </w:rPr>
        <w:t xml:space="preserve"> </w:t>
      </w:r>
    </w:p>
    <w:p w14:paraId="5E1040DF" w14:textId="77777777" w:rsidR="000A5DF5" w:rsidRDefault="00634416">
      <w:pPr>
        <w:spacing w:after="0" w:line="259" w:lineRule="auto"/>
        <w:ind w:left="1178" w:firstLine="0"/>
      </w:pPr>
      <w:r>
        <w:rPr>
          <w:color w:val="156082"/>
          <w:sz w:val="28"/>
        </w:rPr>
        <w:t xml:space="preserve"> </w:t>
      </w:r>
    </w:p>
    <w:p w14:paraId="3095865A" w14:textId="77777777" w:rsidR="000A5DF5" w:rsidRDefault="00634416">
      <w:pPr>
        <w:spacing w:after="0" w:line="259" w:lineRule="auto"/>
        <w:ind w:left="1178" w:firstLine="0"/>
      </w:pPr>
      <w:r>
        <w:rPr>
          <w:sz w:val="27"/>
        </w:rPr>
        <w:t xml:space="preserve"> </w:t>
      </w:r>
    </w:p>
    <w:p w14:paraId="734FEE47" w14:textId="77777777" w:rsidR="000A5DF5" w:rsidRDefault="00634416">
      <w:pPr>
        <w:spacing w:after="282" w:line="239" w:lineRule="auto"/>
        <w:ind w:left="1538" w:right="1190" w:firstLine="0"/>
      </w:pPr>
      <w:r>
        <w:rPr>
          <w:sz w:val="27"/>
        </w:rPr>
        <w:t xml:space="preserve">B. Reiter, E.; I. Escher, B.; Rojo-Nieto, E.; Nolte, H.; Siebert, U.; Jahnke, A. Characterizing the Marine Mammal Exposome by Iceberg Modeling, Linking Chemical Analysis and in Vitro Bioassays. </w:t>
      </w:r>
      <w:r>
        <w:rPr>
          <w:i/>
          <w:sz w:val="27"/>
        </w:rPr>
        <w:t>Environmental Science: Processes &amp; Impacts</w:t>
      </w:r>
      <w:r>
        <w:rPr>
          <w:sz w:val="27"/>
        </w:rPr>
        <w:t xml:space="preserve"> </w:t>
      </w:r>
      <w:r>
        <w:rPr>
          <w:b/>
          <w:sz w:val="27"/>
        </w:rPr>
        <w:t>2023</w:t>
      </w:r>
      <w:r>
        <w:rPr>
          <w:sz w:val="27"/>
        </w:rPr>
        <w:t xml:space="preserve">. </w:t>
      </w:r>
      <w:hyperlink r:id="rId7">
        <w:r>
          <w:rPr>
            <w:color w:val="467886"/>
            <w:sz w:val="27"/>
            <w:u w:val="single" w:color="467886"/>
          </w:rPr>
          <w:t>https://doi.org/10.1039/D3EM00033H</w:t>
        </w:r>
      </w:hyperlink>
      <w:hyperlink r:id="rId8">
        <w:r>
          <w:rPr>
            <w:sz w:val="27"/>
          </w:rPr>
          <w:t>.</w:t>
        </w:r>
      </w:hyperlink>
      <w:r>
        <w:rPr>
          <w:sz w:val="27"/>
        </w:rPr>
        <w:t xml:space="preserve"> </w:t>
      </w:r>
    </w:p>
    <w:p w14:paraId="5C7513DA" w14:textId="77777777" w:rsidR="000A5DF5" w:rsidRDefault="00634416">
      <w:pPr>
        <w:spacing w:after="254" w:line="259" w:lineRule="auto"/>
        <w:ind w:left="1178" w:firstLine="0"/>
      </w:pPr>
      <w:r>
        <w:rPr>
          <w:sz w:val="27"/>
        </w:rPr>
        <w:t xml:space="preserve"> </w:t>
      </w:r>
    </w:p>
    <w:p w14:paraId="128767FE" w14:textId="77777777" w:rsidR="000A5DF5" w:rsidRDefault="00634416">
      <w:pPr>
        <w:spacing w:after="0" w:line="259" w:lineRule="auto"/>
        <w:ind w:left="1178" w:firstLine="0"/>
      </w:pPr>
      <w:r>
        <w:rPr>
          <w:color w:val="156082"/>
          <w:sz w:val="28"/>
        </w:rPr>
        <w:lastRenderedPageBreak/>
        <w:t xml:space="preserve"> </w:t>
      </w:r>
    </w:p>
    <w:p w14:paraId="6FAD2DEC" w14:textId="77777777" w:rsidR="000A5DF5" w:rsidRDefault="00634416">
      <w:pPr>
        <w:spacing w:after="0" w:line="259" w:lineRule="auto"/>
        <w:ind w:left="1178" w:firstLine="0"/>
      </w:pPr>
      <w:r>
        <w:rPr>
          <w:color w:val="156082"/>
          <w:sz w:val="22"/>
        </w:rPr>
        <w:t xml:space="preserve"> </w:t>
      </w:r>
    </w:p>
    <w:p w14:paraId="1DA56B72" w14:textId="77777777" w:rsidR="0067042A" w:rsidRPr="0067042A" w:rsidRDefault="0067042A" w:rsidP="0067042A">
      <w:pPr>
        <w:spacing w:line="240" w:lineRule="auto"/>
        <w:rPr>
          <w:rStyle w:val="Heading1Char"/>
          <w:sz w:val="36"/>
          <w:szCs w:val="36"/>
        </w:rPr>
      </w:pPr>
      <w:r w:rsidRPr="0067042A">
        <w:rPr>
          <w:rStyle w:val="Heading1Char"/>
          <w:sz w:val="36"/>
          <w:szCs w:val="36"/>
        </w:rPr>
        <w:t>Introductions and Analytical Question</w:t>
      </w:r>
    </w:p>
    <w:p w14:paraId="448B74E7" w14:textId="6484E3BC" w:rsidR="000A5DF5" w:rsidRDefault="00634416" w:rsidP="0067042A">
      <w:pPr>
        <w:spacing w:line="240" w:lineRule="auto"/>
      </w:pPr>
      <w:r>
        <w:t xml:space="preserve">To determine Hydrophobic Organic Compounds (HOCs) in marine animal tissue using a new method of </w:t>
      </w:r>
      <w:proofErr w:type="spellStart"/>
      <w:r>
        <w:t>chemometer</w:t>
      </w:r>
      <w:proofErr w:type="spellEnd"/>
      <w:r>
        <w:t xml:space="preserve"> analysis and compare with the results of solvent extraction. </w:t>
      </w:r>
    </w:p>
    <w:p w14:paraId="351092FE" w14:textId="77777777" w:rsidR="000A5DF5" w:rsidRDefault="00634416" w:rsidP="0067042A">
      <w:pPr>
        <w:spacing w:line="240" w:lineRule="auto"/>
      </w:pPr>
      <w:r>
        <w:rPr>
          <w:b/>
        </w:rPr>
        <w:t>Analytical Question the method is trying to answer:</w:t>
      </w:r>
      <w:r>
        <w:t xml:space="preserve"> Can we detect PCBs in marine animal tissue using solvent extraction and </w:t>
      </w:r>
      <w:proofErr w:type="spellStart"/>
      <w:r>
        <w:t>chemometer</w:t>
      </w:r>
      <w:proofErr w:type="spellEnd"/>
      <w:r>
        <w:t xml:space="preserve"> analysis, and if so, what is the detected </w:t>
      </w:r>
      <w:proofErr w:type="gramStart"/>
      <w:r>
        <w:t>amount</w:t>
      </w:r>
      <w:proofErr w:type="gramEnd"/>
      <w:r>
        <w:t xml:space="preserve"> of PCBs? </w:t>
      </w:r>
    </w:p>
    <w:p w14:paraId="50352EAA" w14:textId="483509D2" w:rsidR="000A5DF5" w:rsidRDefault="00634416" w:rsidP="0067042A">
      <w:pPr>
        <w:spacing w:after="428" w:line="240" w:lineRule="auto"/>
        <w:ind w:left="0" w:firstLine="0"/>
      </w:pPr>
      <w:r>
        <w:t xml:space="preserve"> The analyte of focus will be PCBs</w:t>
      </w:r>
      <w:r w:rsidR="0067042A">
        <w:t>. P</w:t>
      </w:r>
      <w:r>
        <w:t>CB stands for Polychlorinated Biphenyls. These chemicals are a man-made organic made up of carbon, hydrogen, and chlorine atoms with the position and number of the chlorine atom(s) determining the molecules physical and chemical properties.</w:t>
      </w:r>
      <w:r>
        <w:rPr>
          <w:vertAlign w:val="superscript"/>
        </w:rPr>
        <w:t>1</w:t>
      </w:r>
      <w:r>
        <w:t xml:space="preserve"> </w:t>
      </w:r>
    </w:p>
    <w:p w14:paraId="234C17E9" w14:textId="77777777" w:rsidR="000A5DF5" w:rsidRDefault="00634416" w:rsidP="0067042A">
      <w:pPr>
        <w:spacing w:line="240" w:lineRule="auto"/>
      </w:pPr>
      <w:r>
        <w:t>PCBs are generally used in industrial applications like electrical equipment, pigments/dyes, or in plastic products due to their all-around inertness and resistance to acids/bases and good thermal stability.</w:t>
      </w:r>
      <w:r>
        <w:rPr>
          <w:vertAlign w:val="superscript"/>
        </w:rPr>
        <w:t>2</w:t>
      </w:r>
      <w:r>
        <w:t xml:space="preserve"> However, the use of PCBs is dangerous as they can be released into the environment when these applications begin to deteriorate, or when there is improper dumping/waste of these chemicals. Releasing PCBs into the environment is very detrimental as they do not readily breakdown and can be carried long distances in water, air, soil, or even through being ingested by animals. </w:t>
      </w:r>
    </w:p>
    <w:p w14:paraId="393E0B8E" w14:textId="77777777" w:rsidR="000A5DF5" w:rsidRDefault="00634416" w:rsidP="0067042A">
      <w:pPr>
        <w:spacing w:line="240" w:lineRule="auto"/>
      </w:pPr>
      <w:r>
        <w:t xml:space="preserve">Not only do PCBs remain in the environment for a long time, but they also are detrimental to the health of many living things. All of this in mind makes analysis and detection of PCBs very important so that proper regulations and care can be set up to prevent more PCB contamination in areas around the world. </w:t>
      </w:r>
    </w:p>
    <w:p w14:paraId="1C4E0C1F" w14:textId="3513D40E" w:rsidR="000A5DF5" w:rsidRPr="0067042A" w:rsidRDefault="00634416" w:rsidP="0067042A">
      <w:pPr>
        <w:spacing w:after="470" w:line="240" w:lineRule="auto"/>
        <w:ind w:left="-5"/>
      </w:pPr>
      <w:r w:rsidRPr="0067042A">
        <w:rPr>
          <w:u w:color="000000"/>
        </w:rPr>
        <w:t>Some additional properties</w:t>
      </w:r>
      <w:r w:rsidRPr="0067042A">
        <w:rPr>
          <w:vertAlign w:val="superscript"/>
        </w:rPr>
        <w:t>3</w:t>
      </w:r>
      <w:r w:rsidR="0067042A">
        <w:t xml:space="preserve"> include:</w:t>
      </w:r>
    </w:p>
    <w:p w14:paraId="7933CA50" w14:textId="77777777" w:rsidR="000A5DF5" w:rsidRDefault="00634416" w:rsidP="0067042A">
      <w:pPr>
        <w:numPr>
          <w:ilvl w:val="0"/>
          <w:numId w:val="1"/>
        </w:numPr>
        <w:spacing w:after="306" w:line="240" w:lineRule="auto"/>
        <w:ind w:hanging="360"/>
      </w:pPr>
      <w:r>
        <w:t xml:space="preserve">No taste or smell </w:t>
      </w:r>
    </w:p>
    <w:p w14:paraId="52E56316" w14:textId="77777777" w:rsidR="000A5DF5" w:rsidRDefault="00634416" w:rsidP="0067042A">
      <w:pPr>
        <w:numPr>
          <w:ilvl w:val="0"/>
          <w:numId w:val="1"/>
        </w:numPr>
        <w:spacing w:after="307" w:line="240" w:lineRule="auto"/>
        <w:ind w:hanging="360"/>
      </w:pPr>
      <w:r>
        <w:t xml:space="preserve">High boiling point </w:t>
      </w:r>
    </w:p>
    <w:p w14:paraId="45171EEE" w14:textId="77777777" w:rsidR="000A5DF5" w:rsidRDefault="00634416" w:rsidP="0067042A">
      <w:pPr>
        <w:numPr>
          <w:ilvl w:val="0"/>
          <w:numId w:val="1"/>
        </w:numPr>
        <w:spacing w:after="305" w:line="240" w:lineRule="auto"/>
        <w:ind w:hanging="360"/>
      </w:pPr>
      <w:r>
        <w:t xml:space="preserve">Colourless or slight yellow tint </w:t>
      </w:r>
    </w:p>
    <w:p w14:paraId="230A656F" w14:textId="77777777" w:rsidR="000A5DF5" w:rsidRDefault="00634416" w:rsidP="0067042A">
      <w:pPr>
        <w:numPr>
          <w:ilvl w:val="0"/>
          <w:numId w:val="1"/>
        </w:numPr>
        <w:spacing w:after="430" w:line="240" w:lineRule="auto"/>
        <w:ind w:hanging="360"/>
      </w:pPr>
      <w:r>
        <w:t xml:space="preserve">Insoluble in water </w:t>
      </w:r>
    </w:p>
    <w:p w14:paraId="60E2060D" w14:textId="77777777" w:rsidR="000A5DF5" w:rsidRDefault="00634416" w:rsidP="0067042A">
      <w:pPr>
        <w:spacing w:after="159" w:line="240" w:lineRule="auto"/>
        <w:ind w:left="0" w:firstLine="0"/>
      </w:pPr>
      <w:r>
        <w:t xml:space="preserve"> </w:t>
      </w:r>
    </w:p>
    <w:p w14:paraId="0B8419EE" w14:textId="54BAF700" w:rsidR="000A5DF5" w:rsidRDefault="000A5DF5" w:rsidP="0067042A">
      <w:pPr>
        <w:spacing w:after="159" w:line="240" w:lineRule="auto"/>
        <w:ind w:left="0" w:firstLine="0"/>
      </w:pPr>
    </w:p>
    <w:p w14:paraId="2F06CFD9" w14:textId="77777777" w:rsidR="0067042A" w:rsidRDefault="0067042A" w:rsidP="0067042A">
      <w:pPr>
        <w:spacing w:after="159" w:line="240" w:lineRule="auto"/>
        <w:ind w:left="0" w:firstLine="0"/>
      </w:pPr>
    </w:p>
    <w:p w14:paraId="1912188F" w14:textId="664E79A4" w:rsidR="0067042A" w:rsidRPr="0067042A" w:rsidRDefault="0067042A" w:rsidP="0067042A">
      <w:pPr>
        <w:pStyle w:val="Heading1"/>
        <w:rPr>
          <w:sz w:val="36"/>
          <w:szCs w:val="36"/>
        </w:rPr>
      </w:pPr>
      <w:r w:rsidRPr="0067042A">
        <w:rPr>
          <w:sz w:val="36"/>
          <w:szCs w:val="36"/>
        </w:rPr>
        <w:lastRenderedPageBreak/>
        <w:t>Analytical Method</w:t>
      </w:r>
    </w:p>
    <w:p w14:paraId="65E36393" w14:textId="77777777" w:rsidR="000A5DF5" w:rsidRDefault="00634416" w:rsidP="0067042A">
      <w:pPr>
        <w:pStyle w:val="Heading2"/>
      </w:pPr>
      <w:r>
        <w:rPr>
          <w:u w:color="000000"/>
        </w:rPr>
        <w:t>Sampling:</w:t>
      </w:r>
      <w:r>
        <w:rPr>
          <w:rFonts w:ascii="Calibri" w:eastAsia="Calibri" w:hAnsi="Calibri" w:cs="Calibri"/>
        </w:rPr>
        <w:t xml:space="preserve"> </w:t>
      </w:r>
    </w:p>
    <w:p w14:paraId="5F6FED5F" w14:textId="77777777" w:rsidR="000A5DF5" w:rsidRDefault="00634416" w:rsidP="0067042A">
      <w:pPr>
        <w:numPr>
          <w:ilvl w:val="0"/>
          <w:numId w:val="1"/>
        </w:numPr>
        <w:spacing w:after="26" w:line="240" w:lineRule="auto"/>
        <w:ind w:hanging="360"/>
      </w:pPr>
      <w:r>
        <w:t xml:space="preserve">Seven harbor porpoises, three harbor seals, one ringed seal, and one orca were analyzed </w:t>
      </w:r>
      <w:r>
        <w:rPr>
          <w:rFonts w:ascii="Courier New" w:eastAsia="Courier New" w:hAnsi="Courier New" w:cs="Courier New"/>
        </w:rPr>
        <w:t>o</w:t>
      </w:r>
      <w:r>
        <w:rPr>
          <w:rFonts w:ascii="Arial" w:eastAsia="Arial" w:hAnsi="Arial" w:cs="Arial"/>
        </w:rPr>
        <w:t xml:space="preserve"> </w:t>
      </w:r>
      <w:r>
        <w:t xml:space="preserve">The purpose of this sample lot was to measure from multiple species in case there were any observable differences that could then be possibly linked to diet or habit of the animals </w:t>
      </w:r>
    </w:p>
    <w:p w14:paraId="5D1DC0B8" w14:textId="6D6BC7AB" w:rsidR="000A5DF5" w:rsidRDefault="00634416" w:rsidP="0067042A">
      <w:pPr>
        <w:numPr>
          <w:ilvl w:val="0"/>
          <w:numId w:val="1"/>
        </w:numPr>
        <w:spacing w:line="240" w:lineRule="auto"/>
        <w:ind w:hanging="360"/>
      </w:pPr>
      <w:r>
        <w:t>Samples were obtained from deceased animals (different causes of death) in moderate to good condition. Sex and age were also recorded</w:t>
      </w:r>
      <w:r w:rsidR="0067042A">
        <w:t>.</w:t>
      </w:r>
      <w:r>
        <w:t xml:space="preserve"> This helps with easy of sampling as they don’t need to catch the species and given that they harvested organs, it avoids the unethical side of killing animals for samples. This research seemed to follow another paper (reference 41 in the article) which stated that the carcasses were sampled within 24hrs of death. This helps keep the samples as close to live tissue samples as possible </w:t>
      </w:r>
      <w:r w:rsidRPr="0067042A">
        <w:rPr>
          <w:rFonts w:ascii="Courier New" w:eastAsia="Courier New" w:hAnsi="Courier New" w:cs="Courier New"/>
        </w:rPr>
        <w:t>o</w:t>
      </w:r>
      <w:r w:rsidRPr="0067042A">
        <w:rPr>
          <w:rFonts w:ascii="Arial" w:eastAsia="Arial" w:hAnsi="Arial" w:cs="Arial"/>
        </w:rPr>
        <w:t xml:space="preserve"> </w:t>
      </w:r>
      <w:r>
        <w:t xml:space="preserve">Sex and age recordings are for the purpose of seeing if there are correlations between them and PCB amount. Perhaps younger samples won’t have as high a concentration due to less exposure time. </w:t>
      </w:r>
    </w:p>
    <w:p w14:paraId="59773DFD" w14:textId="77777777" w:rsidR="000A5DF5" w:rsidRDefault="00634416" w:rsidP="0067042A">
      <w:pPr>
        <w:numPr>
          <w:ilvl w:val="0"/>
          <w:numId w:val="1"/>
        </w:numPr>
        <w:spacing w:after="29" w:line="240" w:lineRule="auto"/>
        <w:ind w:hanging="360"/>
      </w:pPr>
      <w:r>
        <w:t xml:space="preserve">For eight animals a set of liver, blubber, brain, and kidney were taken, while for the other four, liver and blubber samples were taken.  </w:t>
      </w:r>
    </w:p>
    <w:p w14:paraId="4E92095F" w14:textId="77777777" w:rsidR="000A5DF5" w:rsidRDefault="00634416" w:rsidP="0067042A">
      <w:pPr>
        <w:numPr>
          <w:ilvl w:val="1"/>
          <w:numId w:val="1"/>
        </w:numPr>
        <w:spacing w:line="240" w:lineRule="auto"/>
        <w:ind w:hanging="414"/>
      </w:pPr>
      <w:r>
        <w:t xml:space="preserve">The purpose of this is to broaden the areas observed in hopes of seeing where the PCBs may reside and what areas could be susceptible to health risks </w:t>
      </w:r>
    </w:p>
    <w:p w14:paraId="537E6205" w14:textId="77777777" w:rsidR="000A5DF5" w:rsidRDefault="00634416" w:rsidP="0067042A">
      <w:pPr>
        <w:pStyle w:val="Heading2"/>
      </w:pPr>
      <w:r>
        <w:rPr>
          <w:u w:color="000000"/>
        </w:rPr>
        <w:t>Sample Prep:</w:t>
      </w:r>
      <w:r>
        <w:rPr>
          <w:rFonts w:ascii="Calibri" w:eastAsia="Calibri" w:hAnsi="Calibri" w:cs="Calibri"/>
        </w:rPr>
        <w:t xml:space="preserve"> </w:t>
      </w:r>
    </w:p>
    <w:p w14:paraId="328331DC" w14:textId="77777777" w:rsidR="000A5DF5" w:rsidRDefault="00634416" w:rsidP="0067042A">
      <w:pPr>
        <w:numPr>
          <w:ilvl w:val="0"/>
          <w:numId w:val="1"/>
        </w:numPr>
        <w:spacing w:line="240" w:lineRule="auto"/>
        <w:ind w:hanging="360"/>
      </w:pPr>
      <w:r>
        <w:t xml:space="preserve">Samples were blended in a blender and stored at -20°C </w:t>
      </w:r>
      <w:r>
        <w:rPr>
          <w:rFonts w:ascii="Courier New" w:eastAsia="Courier New" w:hAnsi="Courier New" w:cs="Courier New"/>
        </w:rPr>
        <w:t>o</w:t>
      </w:r>
      <w:r>
        <w:rPr>
          <w:rFonts w:ascii="Arial" w:eastAsia="Arial" w:hAnsi="Arial" w:cs="Arial"/>
        </w:rPr>
        <w:t xml:space="preserve"> </w:t>
      </w:r>
      <w:r>
        <w:t xml:space="preserve">Blending was done to homogenize the samples </w:t>
      </w:r>
      <w:r>
        <w:rPr>
          <w:rFonts w:ascii="Courier New" w:eastAsia="Courier New" w:hAnsi="Courier New" w:cs="Courier New"/>
        </w:rPr>
        <w:t>o</w:t>
      </w:r>
      <w:r>
        <w:rPr>
          <w:rFonts w:ascii="Arial" w:eastAsia="Arial" w:hAnsi="Arial" w:cs="Arial"/>
        </w:rPr>
        <w:t xml:space="preserve"> </w:t>
      </w:r>
      <w:r>
        <w:t xml:space="preserve">Storing at -20°C helps to preserve the tissues and prevent any degradation before testing </w:t>
      </w:r>
    </w:p>
    <w:p w14:paraId="6E1C88CE" w14:textId="77777777" w:rsidR="000A5DF5" w:rsidRDefault="00634416" w:rsidP="0067042A">
      <w:pPr>
        <w:spacing w:after="430" w:line="240" w:lineRule="auto"/>
        <w:ind w:left="0" w:firstLine="0"/>
      </w:pPr>
      <w:r>
        <w:t xml:space="preserve"> </w:t>
      </w:r>
    </w:p>
    <w:p w14:paraId="57B93667" w14:textId="77777777" w:rsidR="000A5DF5" w:rsidRDefault="00634416" w:rsidP="0067042A">
      <w:pPr>
        <w:pStyle w:val="Heading2"/>
      </w:pPr>
      <w:r>
        <w:rPr>
          <w:u w:color="000000"/>
        </w:rPr>
        <w:t>Extraction Method:</w:t>
      </w:r>
      <w:r>
        <w:rPr>
          <w:rFonts w:ascii="Calibri" w:eastAsia="Calibri" w:hAnsi="Calibri" w:cs="Calibri"/>
        </w:rPr>
        <w:t xml:space="preserve"> </w:t>
      </w:r>
    </w:p>
    <w:p w14:paraId="7768F916" w14:textId="77777777" w:rsidR="000A5DF5" w:rsidRDefault="00634416" w:rsidP="0067042A">
      <w:pPr>
        <w:numPr>
          <w:ilvl w:val="0"/>
          <w:numId w:val="1"/>
        </w:numPr>
        <w:spacing w:after="25" w:line="240" w:lineRule="auto"/>
        <w:ind w:hanging="360"/>
      </w:pPr>
      <w:r>
        <w:t xml:space="preserve">Solvent extraction </w:t>
      </w:r>
      <w:r>
        <w:rPr>
          <w:rFonts w:ascii="Courier New" w:eastAsia="Courier New" w:hAnsi="Courier New" w:cs="Courier New"/>
        </w:rPr>
        <w:t>o</w:t>
      </w:r>
      <w:r>
        <w:rPr>
          <w:rFonts w:ascii="Arial" w:eastAsia="Arial" w:hAnsi="Arial" w:cs="Arial"/>
        </w:rPr>
        <w:t xml:space="preserve"> </w:t>
      </w:r>
      <w:proofErr w:type="gramStart"/>
      <w:r>
        <w:t>To</w:t>
      </w:r>
      <w:proofErr w:type="gramEnd"/>
      <w:r>
        <w:t xml:space="preserve"> extract the analyte(s) from the homogenized tissue samples into an organic solvent that can then be analyzed via an instrument </w:t>
      </w:r>
    </w:p>
    <w:p w14:paraId="1128C1DF" w14:textId="77777777" w:rsidR="000A5DF5" w:rsidRDefault="00634416" w:rsidP="0067042A">
      <w:pPr>
        <w:numPr>
          <w:ilvl w:val="0"/>
          <w:numId w:val="1"/>
        </w:numPr>
        <w:spacing w:line="240" w:lineRule="auto"/>
        <w:ind w:hanging="360"/>
      </w:pPr>
      <w:r>
        <w:t xml:space="preserve">10 mg of tissue was extracted in three steps using mixtures of 2-propanol, diethyl ether, and n-hexane </w:t>
      </w:r>
    </w:p>
    <w:p w14:paraId="63A24BAC" w14:textId="77777777" w:rsidR="000A5DF5" w:rsidRDefault="00634416" w:rsidP="0067042A">
      <w:pPr>
        <w:numPr>
          <w:ilvl w:val="1"/>
          <w:numId w:val="1"/>
        </w:numPr>
        <w:spacing w:after="3" w:line="240" w:lineRule="auto"/>
        <w:ind w:hanging="414"/>
      </w:pPr>
      <w:r>
        <w:t xml:space="preserve">Each of the solvents would have been used with the solubility of the analyte in mind. These solvents should extract the PCBs out of the blubber tissue for later analysis </w:t>
      </w:r>
      <w:r>
        <w:rPr>
          <w:rFonts w:ascii="Courier New" w:eastAsia="Courier New" w:hAnsi="Courier New" w:cs="Courier New"/>
        </w:rPr>
        <w:t>o</w:t>
      </w:r>
      <w:r>
        <w:rPr>
          <w:rFonts w:ascii="Arial" w:eastAsia="Arial" w:hAnsi="Arial" w:cs="Arial"/>
        </w:rPr>
        <w:t xml:space="preserve"> </w:t>
      </w:r>
      <w:r>
        <w:t xml:space="preserve">Multiple steps were done to improve the amount of analyte extracted from the blubber. As seen in our equation: </w:t>
      </w:r>
    </w:p>
    <w:p w14:paraId="643DE025" w14:textId="77777777" w:rsidR="000A5DF5" w:rsidRDefault="00634416" w:rsidP="0067042A">
      <w:pPr>
        <w:numPr>
          <w:ilvl w:val="1"/>
          <w:numId w:val="1"/>
        </w:numPr>
        <w:spacing w:after="248" w:line="240" w:lineRule="auto"/>
        <w:ind w:hanging="414"/>
      </w:pPr>
      <w:r>
        <w:rPr>
          <w:noProof/>
        </w:rPr>
        <w:lastRenderedPageBreak/>
        <w:drawing>
          <wp:inline distT="0" distB="0" distL="0" distR="0" wp14:anchorId="7C7724A6" wp14:editId="01C5FFAD">
            <wp:extent cx="1626235" cy="988606"/>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9"/>
                    <a:stretch>
                      <a:fillRect/>
                    </a:stretch>
                  </pic:blipFill>
                  <pic:spPr>
                    <a:xfrm>
                      <a:off x="0" y="0"/>
                      <a:ext cx="1626235" cy="988606"/>
                    </a:xfrm>
                    <a:prstGeom prst="rect">
                      <a:avLst/>
                    </a:prstGeom>
                  </pic:spPr>
                </pic:pic>
              </a:graphicData>
            </a:graphic>
          </wp:inline>
        </w:drawing>
      </w:r>
      <w:r>
        <w:t xml:space="preserve"> </w:t>
      </w:r>
    </w:p>
    <w:p w14:paraId="34CCE367" w14:textId="77777777" w:rsidR="000A5DF5" w:rsidRDefault="00634416" w:rsidP="0067042A">
      <w:pPr>
        <w:numPr>
          <w:ilvl w:val="0"/>
          <w:numId w:val="1"/>
        </w:numPr>
        <w:spacing w:line="240" w:lineRule="auto"/>
        <w:ind w:hanging="360"/>
      </w:pPr>
      <w:r>
        <w:t xml:space="preserve">The extracted liquid was then dried and weighed </w:t>
      </w:r>
      <w:r>
        <w:rPr>
          <w:rFonts w:ascii="Courier New" w:eastAsia="Courier New" w:hAnsi="Courier New" w:cs="Courier New"/>
        </w:rPr>
        <w:t>o</w:t>
      </w:r>
      <w:r>
        <w:rPr>
          <w:rFonts w:ascii="Arial" w:eastAsia="Arial" w:hAnsi="Arial" w:cs="Arial"/>
        </w:rPr>
        <w:t xml:space="preserve"> </w:t>
      </w:r>
      <w:r>
        <w:t xml:space="preserve">Drying is done to make sure the following weighing is not altered by the added weight of the solvent </w:t>
      </w:r>
      <w:r>
        <w:rPr>
          <w:rFonts w:ascii="Courier New" w:eastAsia="Courier New" w:hAnsi="Courier New" w:cs="Courier New"/>
        </w:rPr>
        <w:t>o</w:t>
      </w:r>
      <w:r>
        <w:rPr>
          <w:rFonts w:ascii="Arial" w:eastAsia="Arial" w:hAnsi="Arial" w:cs="Arial"/>
        </w:rPr>
        <w:t xml:space="preserve"> </w:t>
      </w:r>
      <w:r>
        <w:t xml:space="preserve">The extracted lipid weight was measured to get a representation of polydimethylsiloxane (PDMS) uptake from lipids and see if there was a correlation </w:t>
      </w:r>
    </w:p>
    <w:p w14:paraId="333CB8D7" w14:textId="77777777" w:rsidR="000A5DF5" w:rsidRPr="0067042A" w:rsidRDefault="00634416" w:rsidP="0067042A">
      <w:pPr>
        <w:pStyle w:val="Heading1"/>
        <w:rPr>
          <w:sz w:val="36"/>
          <w:szCs w:val="36"/>
        </w:rPr>
      </w:pPr>
      <w:r w:rsidRPr="0067042A">
        <w:rPr>
          <w:rFonts w:eastAsia="Calibri"/>
          <w:sz w:val="36"/>
          <w:szCs w:val="36"/>
        </w:rPr>
        <w:t xml:space="preserve">Analysis </w:t>
      </w:r>
    </w:p>
    <w:p w14:paraId="3B8BE274" w14:textId="77777777" w:rsidR="000A5DF5" w:rsidRDefault="00634416" w:rsidP="0067042A">
      <w:pPr>
        <w:pStyle w:val="Heading2"/>
      </w:pPr>
      <w:r>
        <w:rPr>
          <w:u w:color="000000"/>
        </w:rPr>
        <w:t>Instrument used:</w:t>
      </w:r>
      <w:r>
        <w:t xml:space="preserve"> </w:t>
      </w:r>
      <w:r>
        <w:rPr>
          <w:rFonts w:ascii="Calibri" w:eastAsia="Calibri" w:hAnsi="Calibri" w:cs="Calibri"/>
        </w:rPr>
        <w:t xml:space="preserve"> </w:t>
      </w:r>
    </w:p>
    <w:p w14:paraId="007B4786" w14:textId="77777777" w:rsidR="000A5DF5" w:rsidRDefault="00634416" w:rsidP="0067042A">
      <w:pPr>
        <w:numPr>
          <w:ilvl w:val="0"/>
          <w:numId w:val="1"/>
        </w:numPr>
        <w:spacing w:line="240" w:lineRule="auto"/>
        <w:ind w:hanging="360"/>
      </w:pPr>
      <w:r>
        <w:t xml:space="preserve">Gas chromatography-high resolution mass spectrometry (GC-HRMS) </w:t>
      </w:r>
      <w:r>
        <w:rPr>
          <w:rFonts w:ascii="Courier New" w:eastAsia="Courier New" w:hAnsi="Courier New" w:cs="Courier New"/>
        </w:rPr>
        <w:t>o</w:t>
      </w:r>
      <w:r>
        <w:rPr>
          <w:rFonts w:ascii="Arial" w:eastAsia="Arial" w:hAnsi="Arial" w:cs="Arial"/>
        </w:rPr>
        <w:t xml:space="preserve"> </w:t>
      </w:r>
      <w:r>
        <w:t xml:space="preserve">GC pairs well with the solvent extraction method </w:t>
      </w:r>
      <w:r>
        <w:rPr>
          <w:rFonts w:ascii="Courier New" w:eastAsia="Courier New" w:hAnsi="Courier New" w:cs="Courier New"/>
        </w:rPr>
        <w:t>o</w:t>
      </w:r>
      <w:r>
        <w:rPr>
          <w:rFonts w:ascii="Arial" w:eastAsia="Arial" w:hAnsi="Arial" w:cs="Arial"/>
        </w:rPr>
        <w:t xml:space="preserve"> </w:t>
      </w:r>
      <w:r>
        <w:t xml:space="preserve">High resolution mass spec is good for identifying the PCBs as they may be present in very low amounts </w:t>
      </w:r>
    </w:p>
    <w:p w14:paraId="33C8C15E" w14:textId="07FECE60" w:rsidR="0067042A" w:rsidRDefault="00634416" w:rsidP="0067042A">
      <w:pPr>
        <w:spacing w:after="0" w:line="240" w:lineRule="auto"/>
        <w:ind w:left="0" w:firstLine="0"/>
      </w:pPr>
      <w:r>
        <w:t xml:space="preserve"> </w:t>
      </w:r>
    </w:p>
    <w:p w14:paraId="2F54890D" w14:textId="77777777" w:rsidR="000A5DF5" w:rsidRDefault="00634416" w:rsidP="0067042A">
      <w:pPr>
        <w:pStyle w:val="Heading2"/>
      </w:pPr>
      <w:r>
        <w:rPr>
          <w:u w:color="000000"/>
        </w:rPr>
        <w:t>Identification/quantification technique:</w:t>
      </w:r>
      <w:r>
        <w:t xml:space="preserve"> </w:t>
      </w:r>
      <w:r>
        <w:rPr>
          <w:rFonts w:ascii="Calibri" w:eastAsia="Calibri" w:hAnsi="Calibri" w:cs="Calibri"/>
        </w:rPr>
        <w:t xml:space="preserve"> </w:t>
      </w:r>
    </w:p>
    <w:p w14:paraId="591A95DE" w14:textId="77777777" w:rsidR="000A5DF5" w:rsidRDefault="00634416" w:rsidP="0067042A">
      <w:pPr>
        <w:numPr>
          <w:ilvl w:val="0"/>
          <w:numId w:val="1"/>
        </w:numPr>
        <w:spacing w:after="30" w:line="240" w:lineRule="auto"/>
        <w:ind w:hanging="360"/>
      </w:pPr>
      <w:r>
        <w:t xml:space="preserve">Once again, identified using GC-HRMS </w:t>
      </w:r>
      <w:r>
        <w:rPr>
          <w:rFonts w:ascii="Courier New" w:eastAsia="Courier New" w:hAnsi="Courier New" w:cs="Courier New"/>
        </w:rPr>
        <w:t>o</w:t>
      </w:r>
      <w:r>
        <w:rPr>
          <w:rFonts w:ascii="Arial" w:eastAsia="Arial" w:hAnsi="Arial" w:cs="Arial"/>
        </w:rPr>
        <w:t xml:space="preserve"> </w:t>
      </w:r>
      <w:r>
        <w:t xml:space="preserve">Good as there is an already set up, comparable, database </w:t>
      </w:r>
    </w:p>
    <w:p w14:paraId="6BF45B8C" w14:textId="77777777" w:rsidR="000A5DF5" w:rsidRDefault="00634416" w:rsidP="0067042A">
      <w:pPr>
        <w:numPr>
          <w:ilvl w:val="0"/>
          <w:numId w:val="1"/>
        </w:numPr>
        <w:spacing w:line="240" w:lineRule="auto"/>
        <w:ind w:hanging="360"/>
      </w:pPr>
      <w:r>
        <w:t xml:space="preserve">Used iceberg modeling to identify correlations with cellular effects and the determined chemicals </w:t>
      </w:r>
      <w:r>
        <w:rPr>
          <w:rFonts w:ascii="Courier New" w:eastAsia="Courier New" w:hAnsi="Courier New" w:cs="Courier New"/>
        </w:rPr>
        <w:t>o</w:t>
      </w:r>
      <w:r>
        <w:rPr>
          <w:rFonts w:ascii="Arial" w:eastAsia="Arial" w:hAnsi="Arial" w:cs="Arial"/>
        </w:rPr>
        <w:t xml:space="preserve"> </w:t>
      </w:r>
      <w:r>
        <w:t xml:space="preserve">Researchers wanted to see how the actual effect of the in vitro bioassay’s, from a previous study, compared to the predicted effect of the detected compounds </w:t>
      </w:r>
    </w:p>
    <w:p w14:paraId="1868EF9D" w14:textId="77777777" w:rsidR="000A5DF5" w:rsidRDefault="00634416" w:rsidP="0067042A">
      <w:pPr>
        <w:spacing w:after="161" w:line="240" w:lineRule="auto"/>
        <w:ind w:left="0" w:firstLine="0"/>
      </w:pPr>
      <w:r>
        <w:t xml:space="preserve"> </w:t>
      </w:r>
    </w:p>
    <w:p w14:paraId="0CBD274A" w14:textId="77777777" w:rsidR="000A5DF5" w:rsidRDefault="00634416" w:rsidP="0067042A">
      <w:pPr>
        <w:pStyle w:val="Heading2"/>
      </w:pPr>
      <w:r>
        <w:rPr>
          <w:u w:color="000000"/>
        </w:rPr>
        <w:t>Quality control:</w:t>
      </w:r>
      <w:r>
        <w:t xml:space="preserve"> </w:t>
      </w:r>
      <w:r>
        <w:rPr>
          <w:rFonts w:ascii="Calibri" w:eastAsia="Calibri" w:hAnsi="Calibri" w:cs="Calibri"/>
        </w:rPr>
        <w:t xml:space="preserve"> </w:t>
      </w:r>
    </w:p>
    <w:p w14:paraId="4F98FFC6" w14:textId="77777777" w:rsidR="000A5DF5" w:rsidRDefault="00634416" w:rsidP="0067042A">
      <w:pPr>
        <w:numPr>
          <w:ilvl w:val="0"/>
          <w:numId w:val="1"/>
        </w:numPr>
        <w:spacing w:after="306" w:line="240" w:lineRule="auto"/>
        <w:ind w:hanging="360"/>
      </w:pPr>
      <w:r>
        <w:t xml:space="preserve">Standard operating procedures were followed </w:t>
      </w:r>
    </w:p>
    <w:p w14:paraId="3B992A1E" w14:textId="77777777" w:rsidR="000A5DF5" w:rsidRDefault="00634416" w:rsidP="0067042A">
      <w:pPr>
        <w:numPr>
          <w:ilvl w:val="0"/>
          <w:numId w:val="1"/>
        </w:numPr>
        <w:spacing w:after="25" w:line="240" w:lineRule="auto"/>
        <w:ind w:hanging="360"/>
      </w:pPr>
      <w:r>
        <w:t xml:space="preserve">Used trained technicians </w:t>
      </w:r>
      <w:r>
        <w:rPr>
          <w:rFonts w:ascii="Courier New" w:eastAsia="Courier New" w:hAnsi="Courier New" w:cs="Courier New"/>
        </w:rPr>
        <w:t>o</w:t>
      </w:r>
      <w:r>
        <w:rPr>
          <w:rFonts w:ascii="Arial" w:eastAsia="Arial" w:hAnsi="Arial" w:cs="Arial"/>
        </w:rPr>
        <w:t xml:space="preserve"> </w:t>
      </w:r>
      <w:r>
        <w:t xml:space="preserve">Instruments were operated by those most familiar with the steps/proper use to keep measurements accurate </w:t>
      </w:r>
    </w:p>
    <w:p w14:paraId="7DF19CE8" w14:textId="77777777" w:rsidR="000A5DF5" w:rsidRDefault="00634416" w:rsidP="0067042A">
      <w:pPr>
        <w:numPr>
          <w:ilvl w:val="0"/>
          <w:numId w:val="1"/>
        </w:numPr>
        <w:spacing w:after="27" w:line="240" w:lineRule="auto"/>
        <w:ind w:hanging="360"/>
      </w:pPr>
      <w:r>
        <w:t xml:space="preserve">Used standard reference materials (all shown in table S3) </w:t>
      </w:r>
      <w:r>
        <w:rPr>
          <w:rFonts w:ascii="Courier New" w:eastAsia="Courier New" w:hAnsi="Courier New" w:cs="Courier New"/>
        </w:rPr>
        <w:t>o</w:t>
      </w:r>
      <w:r>
        <w:rPr>
          <w:rFonts w:ascii="Arial" w:eastAsia="Arial" w:hAnsi="Arial" w:cs="Arial"/>
        </w:rPr>
        <w:t xml:space="preserve"> </w:t>
      </w:r>
      <w:r>
        <w:t xml:space="preserve">This is for the purpose of comparison when using the GC-HRMS. Data would be compared to the known standard to confirm peaks </w:t>
      </w:r>
    </w:p>
    <w:p w14:paraId="62261250" w14:textId="77777777" w:rsidR="0067042A" w:rsidRDefault="00634416" w:rsidP="0067042A">
      <w:pPr>
        <w:numPr>
          <w:ilvl w:val="0"/>
          <w:numId w:val="1"/>
        </w:numPr>
        <w:spacing w:after="453" w:line="240" w:lineRule="auto"/>
        <w:ind w:hanging="360"/>
      </w:pPr>
      <w:r>
        <w:t xml:space="preserve">Stored extracted samples at -20°C until analysis </w:t>
      </w:r>
      <w:r>
        <w:rPr>
          <w:rFonts w:ascii="Courier New" w:eastAsia="Courier New" w:hAnsi="Courier New" w:cs="Courier New"/>
        </w:rPr>
        <w:t>o</w:t>
      </w:r>
      <w:r>
        <w:rPr>
          <w:rFonts w:ascii="Arial" w:eastAsia="Arial" w:hAnsi="Arial" w:cs="Arial"/>
        </w:rPr>
        <w:t xml:space="preserve"> </w:t>
      </w:r>
      <w:r>
        <w:t xml:space="preserve">This is to prevent degradation of the analyte </w:t>
      </w:r>
    </w:p>
    <w:p w14:paraId="391D7295" w14:textId="077E4C94" w:rsidR="000A5DF5" w:rsidRPr="0067042A" w:rsidRDefault="0067042A" w:rsidP="0067042A">
      <w:pPr>
        <w:pStyle w:val="Heading1"/>
        <w:rPr>
          <w:sz w:val="36"/>
          <w:szCs w:val="36"/>
        </w:rPr>
      </w:pPr>
      <w:r>
        <w:rPr>
          <w:rFonts w:ascii="Calibri" w:eastAsia="Calibri" w:hAnsi="Calibri" w:cs="Calibri"/>
          <w:b/>
          <w:sz w:val="36"/>
          <w:szCs w:val="36"/>
        </w:rPr>
        <w:lastRenderedPageBreak/>
        <w:t>Method Critique</w:t>
      </w:r>
    </w:p>
    <w:p w14:paraId="39C1932C" w14:textId="77777777" w:rsidR="000A5DF5" w:rsidRDefault="00634416" w:rsidP="0067042A">
      <w:pPr>
        <w:spacing w:after="0" w:line="240" w:lineRule="auto"/>
      </w:pPr>
      <w:r>
        <w:t xml:space="preserve">The main objective in this research article was to submit different tissues from marine animals to </w:t>
      </w:r>
      <w:proofErr w:type="spellStart"/>
      <w:r>
        <w:t>chemometer</w:t>
      </w:r>
      <w:proofErr w:type="spellEnd"/>
      <w:r>
        <w:t xml:space="preserve"> and solvent extraction to detect different types of HOCs. When focusing on </w:t>
      </w:r>
    </w:p>
    <w:p w14:paraId="5237DF0B" w14:textId="77777777" w:rsidR="000A5DF5" w:rsidRDefault="00634416" w:rsidP="0067042A">
      <w:pPr>
        <w:spacing w:line="240" w:lineRule="auto"/>
      </w:pPr>
      <w:r>
        <w:t xml:space="preserve">PCBs, it was found that more than 90% of samples had detectable amounts of six kinds of PCBs (PCB 101, 138, 149, 153, 170, 180). Additionally, they were able to use the </w:t>
      </w:r>
      <w:proofErr w:type="spellStart"/>
      <w:r>
        <w:t>chemometer</w:t>
      </w:r>
      <w:proofErr w:type="spellEnd"/>
      <w:r>
        <w:t xml:space="preserve"> data to compare the </w:t>
      </w:r>
      <w:proofErr w:type="gramStart"/>
      <w:r>
        <w:t>amount</w:t>
      </w:r>
      <w:proofErr w:type="gramEnd"/>
      <w:r>
        <w:t xml:space="preserve"> of PCBs found in the liver vs the blubber of their tissue samples. Using this data, the researchers declared that PCBs were present in all forms of tissue samples (brain, blubber, liver, and kidney) and that many compounds banned years ago still are detectable and impact marine animals, exceeding thresholds for physiological impacts. </w:t>
      </w:r>
    </w:p>
    <w:p w14:paraId="44747D97" w14:textId="77777777" w:rsidR="000A5DF5" w:rsidRDefault="00634416" w:rsidP="0067042A">
      <w:pPr>
        <w:pStyle w:val="Heading2"/>
      </w:pPr>
      <w:r>
        <w:rPr>
          <w:u w:color="000000"/>
        </w:rPr>
        <w:t>Aspect(s) of green chemistry incorporated into the research were:</w:t>
      </w:r>
      <w:r>
        <w:rPr>
          <w:rFonts w:ascii="Calibri" w:eastAsia="Calibri" w:hAnsi="Calibri" w:cs="Calibri"/>
        </w:rPr>
        <w:t xml:space="preserve"> </w:t>
      </w:r>
    </w:p>
    <w:p w14:paraId="4402E678" w14:textId="77777777" w:rsidR="000A5DF5" w:rsidRDefault="00634416" w:rsidP="0067042A">
      <w:pPr>
        <w:spacing w:line="240" w:lineRule="auto"/>
      </w:pPr>
      <w:r>
        <w:t xml:space="preserve">#8 Reducing derivatives – The purpose of </w:t>
      </w:r>
      <w:proofErr w:type="spellStart"/>
      <w:r>
        <w:t>chemometer</w:t>
      </w:r>
      <w:proofErr w:type="spellEnd"/>
      <w:r>
        <w:t xml:space="preserve"> sampling is to avoid changing the composition of the chemicals you are extracting. In doing so, the researchers </w:t>
      </w:r>
      <w:proofErr w:type="gramStart"/>
      <w:r>
        <w:t>are able to</w:t>
      </w:r>
      <w:proofErr w:type="gramEnd"/>
      <w:r>
        <w:t xml:space="preserve"> reduce the </w:t>
      </w:r>
      <w:proofErr w:type="gramStart"/>
      <w:r>
        <w:t>amount</w:t>
      </w:r>
      <w:proofErr w:type="gramEnd"/>
      <w:r>
        <w:t xml:space="preserve"> of derivatives as well as matrix transfers. </w:t>
      </w:r>
    </w:p>
    <w:p w14:paraId="3E50508D" w14:textId="77777777" w:rsidR="000A5DF5" w:rsidRDefault="00634416" w:rsidP="0067042A">
      <w:pPr>
        <w:spacing w:line="240" w:lineRule="auto"/>
      </w:pPr>
      <w:r>
        <w:t xml:space="preserve">I would have liked to see discussion of how they handled waste regarding these samples and chemicals as they would not want to rerelease the PCBs or any other HOCs back into the environment. However, I would like to assume they followed #1 of green chemistry and prioritized the prevention of waste.  </w:t>
      </w:r>
    </w:p>
    <w:p w14:paraId="2A2F0B96" w14:textId="77777777" w:rsidR="000A5DF5" w:rsidRDefault="00634416" w:rsidP="0067042A">
      <w:pPr>
        <w:spacing w:line="240" w:lineRule="auto"/>
      </w:pPr>
      <w:r>
        <w:t xml:space="preserve">Furthermore, while not stated, I would again assume, in the effort of safety, that the solvents used met the standards for #5 as the safest option for their extractions. They did minimize some solvent waste by doing multiple extractions instead of one large volume one. </w:t>
      </w:r>
    </w:p>
    <w:p w14:paraId="69DC5594" w14:textId="77777777" w:rsidR="000A5DF5" w:rsidRDefault="00634416" w:rsidP="0067042A">
      <w:pPr>
        <w:pStyle w:val="Heading2"/>
      </w:pPr>
      <w:r>
        <w:rPr>
          <w:u w:color="000000"/>
        </w:rPr>
        <w:t>Things I would like further information on or to add:</w:t>
      </w:r>
      <w:r>
        <w:rPr>
          <w:rFonts w:ascii="Calibri" w:eastAsia="Calibri" w:hAnsi="Calibri" w:cs="Calibri"/>
        </w:rPr>
        <w:t xml:space="preserve"> </w:t>
      </w:r>
    </w:p>
    <w:p w14:paraId="44CBF1AC" w14:textId="77777777" w:rsidR="000A5DF5" w:rsidRDefault="00634416" w:rsidP="0067042A">
      <w:pPr>
        <w:numPr>
          <w:ilvl w:val="0"/>
          <w:numId w:val="2"/>
        </w:numPr>
        <w:spacing w:after="29" w:line="240" w:lineRule="auto"/>
        <w:ind w:hanging="360"/>
      </w:pPr>
      <w:r>
        <w:t xml:space="preserve">When the article spoke about their sample collection, I would have liked more detail to be provided for what counted as a “moderate to good condition” sample. The reason for this is because, while they did mimic another paper that mentioned it was within 24hrs, they didn’t mention what counts as meeting these requirements. This then causes an issue with others trying to reproduce the method. Is any sample, within 24hrs of death, good? Additionally, how did they confirm the samples were only dead for around 24hrs. </w:t>
      </w:r>
    </w:p>
    <w:p w14:paraId="5F032455" w14:textId="77777777" w:rsidR="000A5DF5" w:rsidRDefault="00634416" w:rsidP="0067042A">
      <w:pPr>
        <w:numPr>
          <w:ilvl w:val="0"/>
          <w:numId w:val="2"/>
        </w:numPr>
        <w:spacing w:after="269" w:line="240" w:lineRule="auto"/>
        <w:ind w:hanging="360"/>
      </w:pPr>
      <w:r>
        <w:t xml:space="preserve">After the solvent extraction was done, they simply stated they analyzed using GC-HRMS. </w:t>
      </w:r>
    </w:p>
    <w:p w14:paraId="1695AA59" w14:textId="77777777" w:rsidR="000A5DF5" w:rsidRDefault="00634416" w:rsidP="0067042A">
      <w:pPr>
        <w:spacing w:after="269" w:line="240" w:lineRule="auto"/>
        <w:ind w:left="730"/>
      </w:pPr>
      <w:r>
        <w:t xml:space="preserve">No steps of how they prepped the extraction samples for the instrument were listed. </w:t>
      </w:r>
    </w:p>
    <w:p w14:paraId="06B4C72B" w14:textId="77777777" w:rsidR="000A5DF5" w:rsidRDefault="00634416" w:rsidP="0067042A">
      <w:pPr>
        <w:spacing w:after="306" w:line="240" w:lineRule="auto"/>
        <w:ind w:left="730"/>
      </w:pPr>
      <w:r>
        <w:t xml:space="preserve">They simply stated “as described elsewhere” </w:t>
      </w:r>
    </w:p>
    <w:p w14:paraId="60495DE3" w14:textId="77777777" w:rsidR="000A5DF5" w:rsidRDefault="00634416" w:rsidP="0067042A">
      <w:pPr>
        <w:numPr>
          <w:ilvl w:val="0"/>
          <w:numId w:val="2"/>
        </w:numPr>
        <w:spacing w:after="29" w:line="240" w:lineRule="auto"/>
        <w:ind w:hanging="360"/>
      </w:pPr>
      <w:r>
        <w:t xml:space="preserve">I would have liked to see a more direct comparison between the </w:t>
      </w:r>
      <w:proofErr w:type="spellStart"/>
      <w:r>
        <w:t>chemometer</w:t>
      </w:r>
      <w:proofErr w:type="spellEnd"/>
      <w:r>
        <w:t xml:space="preserve"> extracting vs exhaustive solvent extraction and clarify the benefits if any. </w:t>
      </w:r>
    </w:p>
    <w:p w14:paraId="79A3C02D" w14:textId="77777777" w:rsidR="000A5DF5" w:rsidRDefault="00634416" w:rsidP="0067042A">
      <w:pPr>
        <w:numPr>
          <w:ilvl w:val="0"/>
          <w:numId w:val="2"/>
        </w:numPr>
        <w:spacing w:after="29" w:line="240" w:lineRule="auto"/>
        <w:ind w:hanging="360"/>
      </w:pPr>
      <w:r>
        <w:lastRenderedPageBreak/>
        <w:t xml:space="preserve">I’d be curious to see what adding a recovery standard to the exhaustive solvent extraction would show as the multiple transfers and extractions of that method may have lost some analyte. Or perhaps there would be negligible or no loss. </w:t>
      </w:r>
    </w:p>
    <w:p w14:paraId="1A108213" w14:textId="77777777" w:rsidR="000A5DF5" w:rsidRDefault="00634416" w:rsidP="0067042A">
      <w:pPr>
        <w:numPr>
          <w:ilvl w:val="0"/>
          <w:numId w:val="2"/>
        </w:numPr>
        <w:spacing w:after="29" w:line="240" w:lineRule="auto"/>
        <w:ind w:hanging="360"/>
      </w:pPr>
      <w:r>
        <w:t xml:space="preserve">The paper had a lack of details regarding blanks used. While they most likely used blanks, it would be beneficial to know where they used blanks and, more importantly, what they used for blanks at different points. </w:t>
      </w:r>
    </w:p>
    <w:p w14:paraId="065AD2F8" w14:textId="77777777" w:rsidR="000A5DF5" w:rsidRDefault="00634416" w:rsidP="0067042A">
      <w:pPr>
        <w:numPr>
          <w:ilvl w:val="0"/>
          <w:numId w:val="2"/>
        </w:numPr>
        <w:spacing w:line="240" w:lineRule="auto"/>
        <w:ind w:hanging="360"/>
      </w:pPr>
      <w:r>
        <w:t xml:space="preserve">That said, they did have good quality control steps and used things like a method detection limit to ensure that their results were accurate and well representing of their samples. </w:t>
      </w:r>
    </w:p>
    <w:p w14:paraId="655C332E" w14:textId="77777777" w:rsidR="000A5DF5" w:rsidRDefault="00634416" w:rsidP="0067042A">
      <w:pPr>
        <w:numPr>
          <w:ilvl w:val="0"/>
          <w:numId w:val="2"/>
        </w:numPr>
        <w:spacing w:line="240" w:lineRule="auto"/>
        <w:ind w:hanging="360"/>
      </w:pPr>
      <w:r>
        <w:t xml:space="preserve">Overall, this study proved that </w:t>
      </w:r>
      <w:proofErr w:type="spellStart"/>
      <w:r>
        <w:t>chemometer</w:t>
      </w:r>
      <w:proofErr w:type="spellEnd"/>
      <w:r>
        <w:t xml:space="preserve"> analysis was a valid method for detecting amounts of HOCs in marine animal tissues. </w:t>
      </w:r>
    </w:p>
    <w:p w14:paraId="1D2469AB" w14:textId="77777777" w:rsidR="000A5DF5" w:rsidRDefault="00634416">
      <w:pPr>
        <w:spacing w:after="159" w:line="259" w:lineRule="auto"/>
        <w:ind w:left="0" w:firstLine="0"/>
      </w:pPr>
      <w:r>
        <w:t xml:space="preserve"> </w:t>
      </w:r>
    </w:p>
    <w:p w14:paraId="13FCFD9A" w14:textId="77777777" w:rsidR="0067042A" w:rsidRDefault="0067042A">
      <w:pPr>
        <w:spacing w:after="159" w:line="259" w:lineRule="auto"/>
        <w:ind w:left="0" w:firstLine="0"/>
      </w:pPr>
    </w:p>
    <w:p w14:paraId="038D5FD7" w14:textId="77777777" w:rsidR="0067042A" w:rsidRDefault="0067042A">
      <w:pPr>
        <w:spacing w:after="159" w:line="259" w:lineRule="auto"/>
        <w:ind w:left="0" w:firstLine="0"/>
      </w:pPr>
    </w:p>
    <w:p w14:paraId="2E652838" w14:textId="77777777" w:rsidR="0067042A" w:rsidRDefault="0067042A">
      <w:pPr>
        <w:spacing w:after="159" w:line="259" w:lineRule="auto"/>
        <w:ind w:left="0" w:firstLine="0"/>
      </w:pPr>
    </w:p>
    <w:p w14:paraId="08EEB90C" w14:textId="77777777" w:rsidR="0067042A" w:rsidRDefault="0067042A">
      <w:pPr>
        <w:spacing w:after="159" w:line="259" w:lineRule="auto"/>
        <w:ind w:left="0" w:firstLine="0"/>
      </w:pPr>
    </w:p>
    <w:p w14:paraId="61DEA9ED" w14:textId="77777777" w:rsidR="0067042A" w:rsidRDefault="0067042A">
      <w:pPr>
        <w:spacing w:after="159" w:line="259" w:lineRule="auto"/>
        <w:ind w:left="0" w:firstLine="0"/>
      </w:pPr>
    </w:p>
    <w:p w14:paraId="7E026202" w14:textId="77777777" w:rsidR="0067042A" w:rsidRDefault="0067042A">
      <w:pPr>
        <w:spacing w:after="159" w:line="259" w:lineRule="auto"/>
        <w:ind w:left="0" w:firstLine="0"/>
      </w:pPr>
    </w:p>
    <w:p w14:paraId="36D11DDE" w14:textId="77777777" w:rsidR="0067042A" w:rsidRDefault="0067042A">
      <w:pPr>
        <w:spacing w:after="159" w:line="259" w:lineRule="auto"/>
        <w:ind w:left="0" w:firstLine="0"/>
      </w:pPr>
    </w:p>
    <w:p w14:paraId="600A7951" w14:textId="77777777" w:rsidR="0067042A" w:rsidRDefault="0067042A">
      <w:pPr>
        <w:spacing w:after="159" w:line="259" w:lineRule="auto"/>
        <w:ind w:left="0" w:firstLine="0"/>
      </w:pPr>
    </w:p>
    <w:p w14:paraId="16B3A4EF" w14:textId="77777777" w:rsidR="0067042A" w:rsidRDefault="0067042A">
      <w:pPr>
        <w:spacing w:after="159" w:line="259" w:lineRule="auto"/>
        <w:ind w:left="0" w:firstLine="0"/>
      </w:pPr>
    </w:p>
    <w:p w14:paraId="7FBAA4C5" w14:textId="77777777" w:rsidR="0067042A" w:rsidRDefault="0067042A">
      <w:pPr>
        <w:spacing w:after="159" w:line="259" w:lineRule="auto"/>
        <w:ind w:left="0" w:firstLine="0"/>
      </w:pPr>
    </w:p>
    <w:p w14:paraId="37DFE46C" w14:textId="77777777" w:rsidR="0067042A" w:rsidRDefault="0067042A">
      <w:pPr>
        <w:spacing w:after="159" w:line="259" w:lineRule="auto"/>
        <w:ind w:left="0" w:firstLine="0"/>
      </w:pPr>
    </w:p>
    <w:p w14:paraId="0A800E89" w14:textId="77777777" w:rsidR="0067042A" w:rsidRDefault="0067042A">
      <w:pPr>
        <w:spacing w:after="159" w:line="259" w:lineRule="auto"/>
        <w:ind w:left="0" w:firstLine="0"/>
      </w:pPr>
    </w:p>
    <w:p w14:paraId="1EA39CE2" w14:textId="77777777" w:rsidR="0067042A" w:rsidRDefault="0067042A">
      <w:pPr>
        <w:spacing w:after="159" w:line="259" w:lineRule="auto"/>
        <w:ind w:left="0" w:firstLine="0"/>
      </w:pPr>
    </w:p>
    <w:p w14:paraId="2185A4D2" w14:textId="77777777" w:rsidR="0067042A" w:rsidRDefault="0067042A">
      <w:pPr>
        <w:spacing w:after="159" w:line="259" w:lineRule="auto"/>
        <w:ind w:left="0" w:firstLine="0"/>
      </w:pPr>
    </w:p>
    <w:p w14:paraId="607CD52B" w14:textId="77777777" w:rsidR="0067042A" w:rsidRDefault="0067042A">
      <w:pPr>
        <w:spacing w:after="159" w:line="259" w:lineRule="auto"/>
        <w:ind w:left="0" w:firstLine="0"/>
      </w:pPr>
    </w:p>
    <w:p w14:paraId="24E2F867" w14:textId="77777777" w:rsidR="0067042A" w:rsidRDefault="0067042A">
      <w:pPr>
        <w:spacing w:after="159" w:line="259" w:lineRule="auto"/>
        <w:ind w:left="0" w:firstLine="0"/>
      </w:pPr>
    </w:p>
    <w:p w14:paraId="18F68590" w14:textId="7F87741D" w:rsidR="000A5DF5" w:rsidRDefault="00634416" w:rsidP="0067042A">
      <w:pPr>
        <w:pStyle w:val="Heading1"/>
      </w:pPr>
      <w:r>
        <w:lastRenderedPageBreak/>
        <w:t>References</w:t>
      </w:r>
      <w:r>
        <w:rPr>
          <w:rFonts w:ascii="Calibri" w:eastAsia="Calibri" w:hAnsi="Calibri" w:cs="Calibri"/>
        </w:rPr>
        <w:t xml:space="preserve"> </w:t>
      </w:r>
    </w:p>
    <w:p w14:paraId="446EA0E1" w14:textId="77777777" w:rsidR="000A5DF5" w:rsidRDefault="00634416">
      <w:pPr>
        <w:numPr>
          <w:ilvl w:val="0"/>
          <w:numId w:val="3"/>
        </w:numPr>
        <w:spacing w:after="37" w:line="240" w:lineRule="auto"/>
        <w:ind w:hanging="360"/>
      </w:pPr>
      <w:r>
        <w:t xml:space="preserve">US EPA. </w:t>
      </w:r>
      <w:r>
        <w:rPr>
          <w:i/>
        </w:rPr>
        <w:t>Learn about Polychlorinated Biphenyls</w:t>
      </w:r>
      <w:r>
        <w:t xml:space="preserve">. www.epa.gov. </w:t>
      </w:r>
      <w:hyperlink r:id="rId10">
        <w:r>
          <w:rPr>
            <w:color w:val="96607D"/>
            <w:u w:val="single" w:color="96607D"/>
          </w:rPr>
          <w:t>https://www.epa.gov/pcbs/learn</w:t>
        </w:r>
      </w:hyperlink>
      <w:hyperlink r:id="rId11">
        <w:r>
          <w:rPr>
            <w:color w:val="96607D"/>
            <w:u w:val="single" w:color="96607D"/>
          </w:rPr>
          <w:t>-</w:t>
        </w:r>
      </w:hyperlink>
      <w:hyperlink r:id="rId12">
        <w:r>
          <w:rPr>
            <w:color w:val="96607D"/>
            <w:u w:val="single" w:color="96607D"/>
          </w:rPr>
          <w:t>about</w:t>
        </w:r>
      </w:hyperlink>
      <w:hyperlink r:id="rId13">
        <w:r>
          <w:rPr>
            <w:color w:val="96607D"/>
            <w:u w:val="single" w:color="96607D"/>
          </w:rPr>
          <w:t>-</w:t>
        </w:r>
      </w:hyperlink>
      <w:hyperlink r:id="rId14">
        <w:r>
          <w:rPr>
            <w:color w:val="96607D"/>
            <w:u w:val="single" w:color="96607D"/>
          </w:rPr>
          <w:t>polychlorinated</w:t>
        </w:r>
      </w:hyperlink>
      <w:hyperlink r:id="rId15">
        <w:r>
          <w:rPr>
            <w:color w:val="96607D"/>
            <w:u w:val="single" w:color="96607D"/>
          </w:rPr>
          <w:t>-</w:t>
        </w:r>
      </w:hyperlink>
      <w:hyperlink r:id="rId16">
        <w:r>
          <w:rPr>
            <w:color w:val="96607D"/>
            <w:u w:val="single" w:color="96607D"/>
          </w:rPr>
          <w:t>biphenyls</w:t>
        </w:r>
      </w:hyperlink>
      <w:hyperlink r:id="rId17">
        <w:r>
          <w:t>.</w:t>
        </w:r>
      </w:hyperlink>
      <w:r>
        <w:t xml:space="preserve"> </w:t>
      </w:r>
    </w:p>
    <w:p w14:paraId="631EC116" w14:textId="77777777" w:rsidR="000A5DF5" w:rsidRDefault="00634416">
      <w:pPr>
        <w:numPr>
          <w:ilvl w:val="0"/>
          <w:numId w:val="3"/>
        </w:numPr>
        <w:spacing w:after="15" w:line="250" w:lineRule="auto"/>
        <w:ind w:hanging="360"/>
      </w:pPr>
      <w:r>
        <w:rPr>
          <w:i/>
        </w:rPr>
        <w:t>CHEMICAL AND PHYSICAL INFORMATION</w:t>
      </w:r>
      <w:r>
        <w:t xml:space="preserve">. www.ncbi.nlm.nih.gov. </w:t>
      </w:r>
      <w:hyperlink r:id="rId18" w:anchor=":~:text=An%20important%20property%20of%20PCBs">
        <w:r>
          <w:rPr>
            <w:color w:val="467886"/>
            <w:u w:val="single" w:color="467886"/>
          </w:rPr>
          <w:t xml:space="preserve">https://www.ncbi.nlm.nih.gov/books/NBK587431/#:~:text=An%20important%20proper </w:t>
        </w:r>
      </w:hyperlink>
      <w:hyperlink r:id="rId19" w:anchor=":~:text=An%20important%20property%20of%20PCBs">
        <w:r>
          <w:rPr>
            <w:color w:val="467886"/>
            <w:u w:val="single" w:color="467886"/>
          </w:rPr>
          <w:t>ty%20of%20PCBs</w:t>
        </w:r>
      </w:hyperlink>
      <w:hyperlink r:id="rId20" w:anchor=":~:text=An%20important%20property%20of%20PCBs">
        <w:r>
          <w:t>.</w:t>
        </w:r>
      </w:hyperlink>
      <w:r>
        <w:t xml:space="preserve"> </w:t>
      </w:r>
    </w:p>
    <w:p w14:paraId="2DE251AB" w14:textId="77777777" w:rsidR="000A5DF5" w:rsidRDefault="00634416">
      <w:pPr>
        <w:numPr>
          <w:ilvl w:val="0"/>
          <w:numId w:val="3"/>
        </w:numPr>
        <w:spacing w:after="15" w:line="250" w:lineRule="auto"/>
        <w:ind w:hanging="360"/>
      </w:pPr>
      <w:r>
        <w:rPr>
          <w:i/>
        </w:rPr>
        <w:t>Polychlorinated Biphenyls (PCBs)</w:t>
      </w:r>
      <w:r>
        <w:t xml:space="preserve">. </w:t>
      </w:r>
      <w:hyperlink r:id="rId21">
        <w:r>
          <w:rPr>
            <w:color w:val="467886"/>
            <w:u w:val="single" w:color="467886"/>
          </w:rPr>
          <w:t>https://www.nj.gov/drbc/library/documents/PCB.PDF</w:t>
        </w:r>
      </w:hyperlink>
      <w:hyperlink r:id="rId22">
        <w:r>
          <w:t xml:space="preserve"> </w:t>
        </w:r>
      </w:hyperlink>
    </w:p>
    <w:p w14:paraId="5E63DD71" w14:textId="77777777" w:rsidR="000A5DF5" w:rsidRDefault="00634416">
      <w:pPr>
        <w:spacing w:after="0" w:line="259" w:lineRule="auto"/>
        <w:ind w:left="360" w:firstLine="0"/>
      </w:pPr>
      <w:r>
        <w:rPr>
          <w:sz w:val="27"/>
        </w:rPr>
        <w:t xml:space="preserve"> </w:t>
      </w:r>
    </w:p>
    <w:sectPr w:rsidR="000A5DF5">
      <w:headerReference w:type="even" r:id="rId23"/>
      <w:headerReference w:type="default" r:id="rId24"/>
      <w:headerReference w:type="first" r:id="rId25"/>
      <w:pgSz w:w="12240" w:h="15840"/>
      <w:pgMar w:top="707" w:right="1435" w:bottom="1537"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B432A" w14:textId="77777777" w:rsidR="00CF6D8F" w:rsidRDefault="00CF6D8F">
      <w:pPr>
        <w:spacing w:after="0" w:line="240" w:lineRule="auto"/>
      </w:pPr>
      <w:r>
        <w:separator/>
      </w:r>
    </w:p>
  </w:endnote>
  <w:endnote w:type="continuationSeparator" w:id="0">
    <w:p w14:paraId="701A31F6" w14:textId="77777777" w:rsidR="00CF6D8F" w:rsidRDefault="00CF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114A" w14:textId="77777777" w:rsidR="00CF6D8F" w:rsidRDefault="00CF6D8F">
      <w:pPr>
        <w:spacing w:after="0" w:line="240" w:lineRule="auto"/>
      </w:pPr>
      <w:r>
        <w:separator/>
      </w:r>
    </w:p>
  </w:footnote>
  <w:footnote w:type="continuationSeparator" w:id="0">
    <w:p w14:paraId="6A454CE5" w14:textId="77777777" w:rsidR="00CF6D8F" w:rsidRDefault="00CF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77AA" w14:textId="77777777" w:rsidR="000A5DF5" w:rsidRDefault="00634416">
    <w:pPr>
      <w:spacing w:after="7" w:line="259" w:lineRule="auto"/>
      <w:ind w:left="0" w:firstLine="0"/>
      <w:jc w:val="right"/>
    </w:pPr>
    <w:r>
      <w:rPr>
        <w:noProof/>
        <w:sz w:val="22"/>
      </w:rPr>
      <mc:AlternateContent>
        <mc:Choice Requires="wpg">
          <w:drawing>
            <wp:anchor distT="0" distB="0" distL="114300" distR="114300" simplePos="0" relativeHeight="251658240" behindDoc="0" locked="0" layoutInCell="1" allowOverlap="1" wp14:anchorId="4E70FA36" wp14:editId="5F3BBD4F">
              <wp:simplePos x="0" y="0"/>
              <wp:positionH relativeFrom="page">
                <wp:posOffset>896417</wp:posOffset>
              </wp:positionH>
              <wp:positionV relativeFrom="page">
                <wp:posOffset>632461</wp:posOffset>
              </wp:positionV>
              <wp:extent cx="5981065" cy="6096"/>
              <wp:effectExtent l="0" t="0" r="0" b="0"/>
              <wp:wrapSquare wrapText="bothSides"/>
              <wp:docPr id="6852" name="Group 685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6973" name="Shape 69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852" style="width:470.95pt;height:0.47998pt;position:absolute;mso-position-horizontal-relative:page;mso-position-horizontal:absolute;margin-left:70.584pt;mso-position-vertical-relative:page;margin-top:49.8pt;" coordsize="59810,60">
              <v:shape id="Shape 6974"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color w:val="7F7F7F"/>
        <w:sz w:val="22"/>
      </w:rPr>
      <w:t>P a g e</w:t>
    </w:r>
    <w:r>
      <w:rPr>
        <w:sz w:val="22"/>
      </w:rPr>
      <w:t xml:space="preserve"> | </w:t>
    </w:r>
    <w:r>
      <w:fldChar w:fldCharType="begin"/>
    </w:r>
    <w:r>
      <w:instrText xml:space="preserve"> PAGE   \* MERGEFORMAT </w:instrText>
    </w:r>
    <w:r>
      <w:fldChar w:fldCharType="separate"/>
    </w:r>
    <w:r>
      <w:rPr>
        <w:b/>
        <w:sz w:val="22"/>
      </w:rPr>
      <w:t>2</w:t>
    </w:r>
    <w:r>
      <w:rPr>
        <w:b/>
        <w:sz w:val="22"/>
      </w:rPr>
      <w:fldChar w:fldCharType="end"/>
    </w:r>
    <w:r>
      <w:rPr>
        <w:b/>
        <w:sz w:val="22"/>
      </w:rPr>
      <w:t xml:space="preserve"> </w:t>
    </w:r>
  </w:p>
  <w:p w14:paraId="2C56AFB7" w14:textId="77777777" w:rsidR="000A5DF5" w:rsidRDefault="00634416">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2B8C" w14:textId="77777777" w:rsidR="000A5DF5" w:rsidRDefault="00634416">
    <w:pPr>
      <w:spacing w:after="7" w:line="259" w:lineRule="auto"/>
      <w:ind w:left="0" w:firstLine="0"/>
      <w:jc w:val="right"/>
    </w:pPr>
    <w:r>
      <w:rPr>
        <w:noProof/>
        <w:sz w:val="22"/>
      </w:rPr>
      <mc:AlternateContent>
        <mc:Choice Requires="wpg">
          <w:drawing>
            <wp:anchor distT="0" distB="0" distL="114300" distR="114300" simplePos="0" relativeHeight="251659264" behindDoc="0" locked="0" layoutInCell="1" allowOverlap="1" wp14:anchorId="11DA7BC9" wp14:editId="05CB79B5">
              <wp:simplePos x="0" y="0"/>
              <wp:positionH relativeFrom="page">
                <wp:posOffset>896417</wp:posOffset>
              </wp:positionH>
              <wp:positionV relativeFrom="page">
                <wp:posOffset>632461</wp:posOffset>
              </wp:positionV>
              <wp:extent cx="5981065" cy="6096"/>
              <wp:effectExtent l="0" t="0" r="0" b="0"/>
              <wp:wrapSquare wrapText="bothSides"/>
              <wp:docPr id="6837" name="Group 683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6971" name="Shape 697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837" style="width:470.95pt;height:0.47998pt;position:absolute;mso-position-horizontal-relative:page;mso-position-horizontal:absolute;margin-left:70.584pt;mso-position-vertical-relative:page;margin-top:49.8pt;" coordsize="59810,60">
              <v:shape id="Shape 6972"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color w:val="7F7F7F"/>
        <w:sz w:val="22"/>
      </w:rPr>
      <w:t>P a g e</w:t>
    </w:r>
    <w:r>
      <w:rPr>
        <w:sz w:val="22"/>
      </w:rPr>
      <w:t xml:space="preserve"> | </w:t>
    </w:r>
    <w:r>
      <w:fldChar w:fldCharType="begin"/>
    </w:r>
    <w:r>
      <w:instrText xml:space="preserve"> PAGE   \* MERGEFORMAT </w:instrText>
    </w:r>
    <w:r>
      <w:fldChar w:fldCharType="separate"/>
    </w:r>
    <w:r>
      <w:rPr>
        <w:b/>
        <w:sz w:val="22"/>
      </w:rPr>
      <w:t>2</w:t>
    </w:r>
    <w:r>
      <w:rPr>
        <w:b/>
        <w:sz w:val="22"/>
      </w:rPr>
      <w:fldChar w:fldCharType="end"/>
    </w:r>
    <w:r>
      <w:rPr>
        <w:b/>
        <w:sz w:val="22"/>
      </w:rPr>
      <w:t xml:space="preserve"> </w:t>
    </w:r>
  </w:p>
  <w:p w14:paraId="2769701B" w14:textId="77777777" w:rsidR="000A5DF5" w:rsidRDefault="00634416">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B0AA" w14:textId="77777777" w:rsidR="000A5DF5" w:rsidRDefault="000A5DF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92B13"/>
    <w:multiLevelType w:val="hybridMultilevel"/>
    <w:tmpl w:val="4EE287F8"/>
    <w:lvl w:ilvl="0" w:tplc="BF6892B6">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4A6708">
      <w:start w:val="1"/>
      <w:numFmt w:val="bullet"/>
      <w:lvlText w:val="o"/>
      <w:lvlJc w:val="left"/>
      <w:pPr>
        <w:ind w:left="1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CC15D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86E7E0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534A1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120F6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EF2D0C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452B23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A26EB5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4A118F"/>
    <w:multiLevelType w:val="hybridMultilevel"/>
    <w:tmpl w:val="8390CD88"/>
    <w:lvl w:ilvl="0" w:tplc="9336F7B8">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6B61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6C09D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44FCF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346D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BC30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84B20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D025A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64ADA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1F7E41"/>
    <w:multiLevelType w:val="hybridMultilevel"/>
    <w:tmpl w:val="C4E63A10"/>
    <w:lvl w:ilvl="0" w:tplc="CEB8EC9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AAD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F8FB3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8295A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70A36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50862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4A02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06A8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82DA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40112265">
    <w:abstractNumId w:val="0"/>
  </w:num>
  <w:num w:numId="2" w16cid:durableId="1831601090">
    <w:abstractNumId w:val="1"/>
  </w:num>
  <w:num w:numId="3" w16cid:durableId="24716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F5"/>
    <w:rsid w:val="00015A1F"/>
    <w:rsid w:val="000A5DF5"/>
    <w:rsid w:val="00634416"/>
    <w:rsid w:val="0067042A"/>
    <w:rsid w:val="00C43BE5"/>
    <w:rsid w:val="00CF6D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F7F5"/>
  <w15:docId w15:val="{E972FF5A-5E68-4F1E-8154-4CF9B71C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9" w:line="488" w:lineRule="auto"/>
      <w:ind w:left="10" w:hanging="10"/>
    </w:pPr>
    <w:rPr>
      <w:rFonts w:ascii="Calibri" w:eastAsia="Calibri" w:hAnsi="Calibri" w:cs="Calibri"/>
      <w:color w:val="000000"/>
    </w:rPr>
  </w:style>
  <w:style w:type="paragraph" w:styleId="Heading1">
    <w:name w:val="heading 1"/>
    <w:basedOn w:val="Normal"/>
    <w:next w:val="Normal"/>
    <w:link w:val="Heading1Char"/>
    <w:uiPriority w:val="9"/>
    <w:qFormat/>
    <w:rsid w:val="0067042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7042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42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7042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39/D3EM00033H" TargetMode="External"/><Relationship Id="rId13" Type="http://schemas.openxmlformats.org/officeDocument/2006/relationships/hyperlink" Target="https://www.epa.gov/pcbs/learn-about-polychlorinated-biphenyls" TargetMode="External"/><Relationship Id="rId18" Type="http://schemas.openxmlformats.org/officeDocument/2006/relationships/hyperlink" Target="https://www.ncbi.nlm.nih.gov/books/NBK5874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j.gov/drbc/library/documents/PCB.PDF" TargetMode="External"/><Relationship Id="rId7" Type="http://schemas.openxmlformats.org/officeDocument/2006/relationships/hyperlink" Target="https://doi.org/10.1039/D3EM00033H" TargetMode="External"/><Relationship Id="rId12" Type="http://schemas.openxmlformats.org/officeDocument/2006/relationships/hyperlink" Target="https://www.epa.gov/pcbs/learn-about-polychlorinated-biphenyls" TargetMode="External"/><Relationship Id="rId17" Type="http://schemas.openxmlformats.org/officeDocument/2006/relationships/hyperlink" Target="https://www.epa.gov/pcbs/learn-about-polychlorinated-bipheny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pa.gov/pcbs/learn-about-polychlorinated-biphenyls" TargetMode="External"/><Relationship Id="rId20" Type="http://schemas.openxmlformats.org/officeDocument/2006/relationships/hyperlink" Target="https://www.ncbi.nlm.nih.gov/books/NBK5874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pcbs/learn-about-polychlorinated-biphenyl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epa.gov/pcbs/learn-about-polychlorinated-biphenyls" TargetMode="External"/><Relationship Id="rId23" Type="http://schemas.openxmlformats.org/officeDocument/2006/relationships/header" Target="header1.xml"/><Relationship Id="rId10" Type="http://schemas.openxmlformats.org/officeDocument/2006/relationships/hyperlink" Target="https://www.epa.gov/pcbs/learn-about-polychlorinated-biphenyls" TargetMode="External"/><Relationship Id="rId19" Type="http://schemas.openxmlformats.org/officeDocument/2006/relationships/hyperlink" Target="https://www.ncbi.nlm.nih.gov/books/NBK587431/"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epa.gov/pcbs/learn-about-polychlorinated-biphenyls" TargetMode="External"/><Relationship Id="rId22" Type="http://schemas.openxmlformats.org/officeDocument/2006/relationships/hyperlink" Target="https://www.nj.gov/drbc/library/documents/PCB.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1518</Words>
  <Characters>7986</Characters>
  <Application>Microsoft Office Word</Application>
  <DocSecurity>0</DocSecurity>
  <Lines>180</Lines>
  <Paragraphs>64</Paragraphs>
  <ScaleCrop>false</ScaleCrop>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Characterizing the marine mammal exposome by iceberg modeling, linking chemical analysis and in vitro bioassays</dc:title>
  <dc:subject>Eva B. Reiter, Beate I. Escher, Elisa Rojo-Nieto, Hannah Nolte, Ursula Sieberte and Annika Jahnke</dc:subject>
  <dc:creator>Mason Swanton</dc:creator>
  <cp:keywords/>
  <cp:lastModifiedBy>Mason Swanton</cp:lastModifiedBy>
  <cp:revision>3</cp:revision>
  <dcterms:created xsi:type="dcterms:W3CDTF">2026-02-22T18:27:00Z</dcterms:created>
  <dcterms:modified xsi:type="dcterms:W3CDTF">2026-02-22T18:31:00Z</dcterms:modified>
</cp:coreProperties>
</file>